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672F" w14:textId="77777777" w:rsidR="00434F17" w:rsidRDefault="00000000">
      <w:pPr>
        <w:pStyle w:val="Standard"/>
        <w:spacing w:after="120" w:line="266" w:lineRule="auto"/>
      </w:pPr>
      <w:r>
        <w:rPr>
          <w:noProof/>
        </w:rPr>
        <w:drawing>
          <wp:inline distT="0" distB="0" distL="0" distR="0" wp14:anchorId="36396752" wp14:editId="533D87A9">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5D1D7108" w14:textId="77777777" w:rsidR="00434F17" w:rsidRDefault="00000000">
      <w:pPr>
        <w:pStyle w:val="Standard"/>
        <w:spacing w:after="300" w:line="242" w:lineRule="auto"/>
        <w:jc w:val="center"/>
      </w:pPr>
      <w:r>
        <w:rPr>
          <w:b/>
          <w:sz w:val="32"/>
          <w:szCs w:val="32"/>
        </w:rPr>
        <w:t>CARBON REDUCTION PLAN GUIDANCE</w:t>
      </w:r>
    </w:p>
    <w:p w14:paraId="4D861C84" w14:textId="77777777" w:rsidR="00434F17" w:rsidRDefault="00000000">
      <w:pPr>
        <w:pStyle w:val="Heading1"/>
        <w:spacing w:before="360"/>
      </w:pPr>
      <w:bookmarkStart w:id="0" w:name="_heading=h.gjdgxs"/>
      <w:bookmarkEnd w:id="0"/>
      <w:r>
        <w:rPr>
          <w:color w:val="000000"/>
          <w:sz w:val="28"/>
          <w:szCs w:val="28"/>
        </w:rPr>
        <w:t>Notes for Completion</w:t>
      </w:r>
    </w:p>
    <w:p w14:paraId="2D00E146" w14:textId="77777777" w:rsidR="00434F17" w:rsidRDefault="00000000">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15CF14CC" w14:textId="77777777" w:rsidR="00434F17" w:rsidRDefault="00000000">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guidance, and include the supplier’s current carbon footprint and its commitment to reducing emissions to achieve Net Zero emissions by 2050.</w:t>
      </w:r>
    </w:p>
    <w:p w14:paraId="445D8BD5" w14:textId="77777777" w:rsidR="00434F17" w:rsidRDefault="00000000">
      <w:pPr>
        <w:pStyle w:val="Standard"/>
        <w:spacing w:line="240" w:lineRule="auto"/>
      </w:pPr>
      <w:r>
        <w:rPr>
          <w:color w:val="000000"/>
        </w:rPr>
        <w:t>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and all of the following criteria are met: </w:t>
      </w:r>
    </w:p>
    <w:p w14:paraId="53CA4D49" w14:textId="77777777" w:rsidR="00434F17" w:rsidRDefault="00000000">
      <w:pPr>
        <w:pStyle w:val="Standard"/>
        <w:numPr>
          <w:ilvl w:val="0"/>
          <w:numId w:val="3"/>
        </w:numPr>
        <w:spacing w:line="240" w:lineRule="auto"/>
      </w:pPr>
      <w:r>
        <w:rPr>
          <w:color w:val="000000"/>
        </w:rPr>
        <w:t>The bidding entity is wholly owned by the parent; </w:t>
      </w:r>
    </w:p>
    <w:p w14:paraId="1303BA5F" w14:textId="77777777" w:rsidR="00434F17" w:rsidRDefault="00000000">
      <w:pPr>
        <w:pStyle w:val="Standard"/>
        <w:numPr>
          <w:ilvl w:val="0"/>
          <w:numId w:val="2"/>
        </w:numPr>
        <w:spacing w:line="240" w:lineRule="auto"/>
      </w:pPr>
      <w:r>
        <w:rPr>
          <w:color w:val="000000"/>
        </w:rPr>
        <w:t>The commitment to achieving net zero by 2050 for UK operations is set out in the CRP for the parent and is supported and adopted by the bidding entity, demonstrated by the inclusion in the CRP of a statement that this will apply to the bidding entity;</w:t>
      </w:r>
    </w:p>
    <w:p w14:paraId="1111819E" w14:textId="77777777" w:rsidR="00434F17" w:rsidRDefault="00000000">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67A6393A" w14:textId="77777777" w:rsidR="00434F17" w:rsidRDefault="00000000">
      <w:pPr>
        <w:pStyle w:val="Standard"/>
        <w:numPr>
          <w:ilvl w:val="0"/>
          <w:numId w:val="2"/>
        </w:numPr>
        <w:spacing w:line="240" w:lineRule="auto"/>
      </w:pPr>
      <w:r>
        <w:rPr>
          <w:color w:val="000000"/>
        </w:rPr>
        <w:t>The CRP is published on the bidding entity’s website.    </w:t>
      </w:r>
    </w:p>
    <w:p w14:paraId="6EEE5410" w14:textId="77777777" w:rsidR="00434F17" w:rsidRDefault="00434F17">
      <w:pPr>
        <w:pStyle w:val="Standard"/>
        <w:rPr>
          <w:rFonts w:ascii="Times New Roman" w:eastAsia="Times New Roman" w:hAnsi="Times New Roman" w:cs="Times New Roman"/>
          <w:sz w:val="24"/>
          <w:szCs w:val="24"/>
        </w:rPr>
      </w:pPr>
    </w:p>
    <w:p w14:paraId="481BDC87" w14:textId="77777777" w:rsidR="00434F17" w:rsidRDefault="00000000">
      <w:pPr>
        <w:pStyle w:val="Standard"/>
        <w:spacing w:line="240" w:lineRule="auto"/>
      </w:pPr>
      <w:r>
        <w:rPr>
          <w:color w:val="000000"/>
        </w:rPr>
        <w:t>Bidding entities must take steps to ensure they have their own CRP as soon as reasonably practicable and should note that the ability to rely on a parent organisation’s Carbon Reduction Plan may only be a temporary measure under this selection criterion. </w:t>
      </w:r>
    </w:p>
    <w:p w14:paraId="6FE8047A" w14:textId="77777777" w:rsidR="00434F17" w:rsidRDefault="00000000">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3300A991" w14:textId="77777777" w:rsidR="00434F17" w:rsidRDefault="00000000">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3B75F339" w14:textId="77777777" w:rsidR="00434F17" w:rsidRDefault="00434F17">
      <w:pPr>
        <w:pStyle w:val="Standard"/>
        <w:spacing w:after="120" w:line="240" w:lineRule="auto"/>
        <w:jc w:val="both"/>
      </w:pPr>
    </w:p>
    <w:p w14:paraId="3700997D" w14:textId="77777777" w:rsidR="00434F17" w:rsidRDefault="00000000">
      <w:pPr>
        <w:pStyle w:val="Title"/>
        <w:spacing w:after="120" w:line="266" w:lineRule="auto"/>
        <w:jc w:val="center"/>
      </w:pPr>
      <w:r>
        <w:lastRenderedPageBreak/>
        <w:t>Carbon Reduction Plan Template</w:t>
      </w:r>
    </w:p>
    <w:p w14:paraId="2D0D2AB3" w14:textId="77777777" w:rsidR="00434F17" w:rsidRDefault="00000000">
      <w:pPr>
        <w:pStyle w:val="Standard"/>
        <w:spacing w:after="120" w:line="266" w:lineRule="auto"/>
        <w:jc w:val="both"/>
      </w:pPr>
      <w:r>
        <w:rPr>
          <w:sz w:val="28"/>
          <w:szCs w:val="28"/>
        </w:rPr>
        <w:t>Supplier name:</w:t>
      </w:r>
      <w:r>
        <w:t xml:space="preserve"> </w:t>
      </w:r>
      <w:r>
        <w:rPr>
          <w:b/>
          <w:sz w:val="28"/>
          <w:szCs w:val="28"/>
        </w:rPr>
        <w:t>Bulien LLP</w:t>
      </w:r>
    </w:p>
    <w:p w14:paraId="6D2BEA25" w14:textId="04EDF6BA" w:rsidR="00434F17" w:rsidRDefault="00000000">
      <w:pPr>
        <w:pStyle w:val="Standard"/>
        <w:spacing w:after="120" w:line="266" w:lineRule="auto"/>
        <w:jc w:val="both"/>
      </w:pPr>
      <w:r>
        <w:rPr>
          <w:sz w:val="28"/>
          <w:szCs w:val="28"/>
        </w:rPr>
        <w:t>Publication date:</w:t>
      </w:r>
      <w:r>
        <w:t xml:space="preserve"> </w:t>
      </w:r>
      <w:r w:rsidR="00541B14">
        <w:rPr>
          <w:b/>
          <w:sz w:val="28"/>
          <w:szCs w:val="28"/>
        </w:rPr>
        <w:t>12 January</w:t>
      </w:r>
      <w:r>
        <w:rPr>
          <w:b/>
          <w:sz w:val="28"/>
          <w:szCs w:val="28"/>
        </w:rPr>
        <w:t xml:space="preserve"> 202</w:t>
      </w:r>
      <w:r w:rsidR="00541B14">
        <w:rPr>
          <w:b/>
          <w:sz w:val="28"/>
          <w:szCs w:val="28"/>
        </w:rPr>
        <w:t>5</w:t>
      </w:r>
    </w:p>
    <w:p w14:paraId="48C27478" w14:textId="77777777" w:rsidR="00434F17" w:rsidRDefault="00000000">
      <w:pPr>
        <w:pStyle w:val="Heading1"/>
        <w:spacing w:before="360" w:line="266" w:lineRule="auto"/>
        <w:jc w:val="both"/>
      </w:pPr>
      <w:bookmarkStart w:id="1" w:name="_heading=h.30j0zll"/>
      <w:bookmarkEnd w:id="1"/>
      <w:r>
        <w:rPr>
          <w:b/>
          <w:sz w:val="28"/>
          <w:szCs w:val="28"/>
        </w:rPr>
        <w:t>Commitment to achieving Net Zero</w:t>
      </w:r>
    </w:p>
    <w:p w14:paraId="66FAF024" w14:textId="77777777" w:rsidR="00434F17" w:rsidRPr="00995AB8" w:rsidRDefault="00000000" w:rsidP="00995AB8">
      <w:pPr>
        <w:pStyle w:val="Standard"/>
        <w:spacing w:after="120"/>
      </w:pPr>
      <w:bookmarkStart w:id="2" w:name="_heading=h.1fob9te"/>
      <w:bookmarkEnd w:id="2"/>
      <w:r w:rsidRPr="00995AB8">
        <w:t xml:space="preserve">Bulien LLP is committed to achieving Net Zero emissions by 2021*. </w:t>
      </w:r>
    </w:p>
    <w:p w14:paraId="43DB7908" w14:textId="77777777" w:rsidR="00434F17" w:rsidRDefault="00000000">
      <w:pPr>
        <w:pStyle w:val="Standard"/>
        <w:rPr>
          <w:i/>
          <w:iCs/>
          <w:sz w:val="20"/>
          <w:szCs w:val="20"/>
        </w:rPr>
      </w:pPr>
      <w:r>
        <w:rPr>
          <w:i/>
          <w:iCs/>
          <w:sz w:val="20"/>
          <w:szCs w:val="20"/>
        </w:rPr>
        <w:t>*Net Zero emissions were achieved in 2021 and the commitment is to maintain Net Zero by keeping emissions as low as possible whilst increasing our carbon offsetting efforts.</w:t>
      </w:r>
    </w:p>
    <w:p w14:paraId="55BF0D95" w14:textId="77777777" w:rsidR="00434F17" w:rsidRDefault="00000000">
      <w:pPr>
        <w:pStyle w:val="Heading1"/>
        <w:spacing w:before="360" w:line="266" w:lineRule="auto"/>
        <w:jc w:val="both"/>
      </w:pPr>
      <w:bookmarkStart w:id="3" w:name="_heading=h.3znysh7"/>
      <w:bookmarkEnd w:id="3"/>
      <w:r>
        <w:rPr>
          <w:b/>
          <w:sz w:val="28"/>
          <w:szCs w:val="28"/>
        </w:rPr>
        <w:t>Baseline Emissions Footprint</w:t>
      </w:r>
    </w:p>
    <w:p w14:paraId="1D78F9A1" w14:textId="77777777" w:rsidR="00434F17" w:rsidRDefault="00000000">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450D4990" w14:textId="77777777" w:rsidR="00434F17" w:rsidRDefault="00434F17">
      <w:pPr>
        <w:pStyle w:val="Standard"/>
      </w:pPr>
    </w:p>
    <w:tbl>
      <w:tblPr>
        <w:tblW w:w="9420" w:type="dxa"/>
        <w:tblCellMar>
          <w:left w:w="10" w:type="dxa"/>
          <w:right w:w="10" w:type="dxa"/>
        </w:tblCellMar>
        <w:tblLook w:val="0000" w:firstRow="0" w:lastRow="0" w:firstColumn="0" w:lastColumn="0" w:noHBand="0" w:noVBand="0"/>
      </w:tblPr>
      <w:tblGrid>
        <w:gridCol w:w="2620"/>
        <w:gridCol w:w="6800"/>
      </w:tblGrid>
      <w:tr w:rsidR="00434F17" w14:paraId="119D80F0"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BFC5F"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Baseline Year: 2020</w:t>
            </w:r>
          </w:p>
        </w:tc>
      </w:tr>
      <w:tr w:rsidR="00434F17" w14:paraId="4FEEFC4D"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220B"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Additional Details relating to the Baseline Emissions calculations.</w:t>
            </w:r>
          </w:p>
        </w:tc>
      </w:tr>
      <w:tr w:rsidR="00434F17" w14:paraId="4A60D99A" w14:textId="77777777">
        <w:trPr>
          <w:trHeight w:val="9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1FCED" w14:textId="77777777" w:rsidR="00434F17" w:rsidRDefault="00000000">
            <w:pPr>
              <w:suppressAutoHyphens w:val="0"/>
              <w:jc w:val="both"/>
              <w:textAlignment w:val="auto"/>
              <w:rPr>
                <w:rFonts w:eastAsia="Times New Roman"/>
                <w:i/>
                <w:iCs/>
                <w:color w:val="000000"/>
                <w:lang w:eastAsia="en-GB" w:bidi="ar-SA"/>
              </w:rPr>
            </w:pPr>
            <w:r>
              <w:rPr>
                <w:rFonts w:eastAsia="Times New Roman"/>
                <w:i/>
                <w:iCs/>
                <w:color w:val="000000"/>
                <w:lang w:eastAsia="en-GB" w:bidi="ar-SA"/>
              </w:rPr>
              <w:t xml:space="preserve">2020 is our baseline year because it is the year that we had the largest carbon footprint since establishment. We had a small office in a shared facility, but it was largely unoccupied for much of the year due to COVID-19.  </w:t>
            </w:r>
          </w:p>
        </w:tc>
      </w:tr>
      <w:tr w:rsidR="00434F17" w14:paraId="1ABC3E26"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8CA0E"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Baseline year emissions:</w:t>
            </w:r>
          </w:p>
        </w:tc>
      </w:tr>
      <w:tr w:rsidR="00434F17" w14:paraId="30A50AC6" w14:textId="77777777">
        <w:trPr>
          <w:trHeight w:val="345"/>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90116"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EMISSIONS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B80B2" w14:textId="77777777" w:rsidR="00434F17" w:rsidRDefault="00000000">
            <w:pPr>
              <w:suppressAutoHyphens w:val="0"/>
              <w:jc w:val="both"/>
              <w:textAlignment w:val="auto"/>
            </w:pPr>
            <w:r>
              <w:rPr>
                <w:rFonts w:eastAsia="Times New Roman"/>
                <w:b/>
                <w:bCs/>
                <w:color w:val="000000"/>
                <w:lang w:eastAsia="en-GB" w:bidi="ar-SA"/>
              </w:rPr>
              <w:t>TOTAL (tCO</w:t>
            </w:r>
            <w:r>
              <w:rPr>
                <w:rFonts w:eastAsia="Times New Roman"/>
                <w:b/>
                <w:bCs/>
                <w:color w:val="000000"/>
                <w:vertAlign w:val="subscript"/>
                <w:lang w:eastAsia="en-GB" w:bidi="ar-SA"/>
              </w:rPr>
              <w:t>2</w:t>
            </w:r>
            <w:r>
              <w:rPr>
                <w:rFonts w:eastAsia="Times New Roman"/>
                <w:b/>
                <w:bCs/>
                <w:color w:val="000000"/>
                <w:lang w:eastAsia="en-GB" w:bidi="ar-SA"/>
              </w:rPr>
              <w:t>e)</w:t>
            </w:r>
          </w:p>
        </w:tc>
      </w:tr>
      <w:tr w:rsidR="00434F17" w14:paraId="5ACBFFAD" w14:textId="77777777">
        <w:trPr>
          <w:trHeight w:val="345"/>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B2D2A"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1</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2078ED" w14:textId="77777777" w:rsidR="00434F17" w:rsidRDefault="00000000">
            <w:pPr>
              <w:suppressAutoHyphens w:val="0"/>
              <w:jc w:val="both"/>
              <w:textAlignment w:val="auto"/>
            </w:pPr>
            <w:r>
              <w:rPr>
                <w:rFonts w:eastAsia="Times New Roman"/>
                <w:b/>
                <w:bCs/>
                <w:color w:val="000000"/>
                <w:lang w:eastAsia="en-GB" w:bidi="ar-SA"/>
              </w:rPr>
              <w:t>0 tCO</w:t>
            </w:r>
            <w:r>
              <w:rPr>
                <w:rFonts w:eastAsia="Times New Roman"/>
                <w:b/>
                <w:bCs/>
                <w:color w:val="000000"/>
                <w:vertAlign w:val="subscript"/>
                <w:lang w:eastAsia="en-GB" w:bidi="ar-SA"/>
              </w:rPr>
              <w:t>2</w:t>
            </w:r>
            <w:r>
              <w:rPr>
                <w:rFonts w:eastAsia="Times New Roman"/>
                <w:b/>
                <w:bCs/>
                <w:color w:val="000000"/>
                <w:lang w:eastAsia="en-GB" w:bidi="ar-SA"/>
              </w:rPr>
              <w:t>e (we sell software &amp; consultancy)</w:t>
            </w:r>
          </w:p>
        </w:tc>
      </w:tr>
      <w:tr w:rsidR="00434F17" w14:paraId="15DD43A6" w14:textId="77777777">
        <w:trPr>
          <w:trHeight w:val="345"/>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C790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2</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25C9C19" w14:textId="77777777" w:rsidR="00434F17" w:rsidRDefault="00000000">
            <w:pPr>
              <w:suppressAutoHyphens w:val="0"/>
              <w:jc w:val="both"/>
              <w:textAlignment w:val="auto"/>
            </w:pPr>
            <w:r>
              <w:rPr>
                <w:rFonts w:eastAsia="Times New Roman"/>
                <w:b/>
                <w:bCs/>
                <w:color w:val="000000"/>
                <w:lang w:eastAsia="en-GB" w:bidi="ar-SA"/>
              </w:rPr>
              <w:t>2.2 tCO</w:t>
            </w:r>
            <w:r>
              <w:rPr>
                <w:rFonts w:eastAsia="Times New Roman"/>
                <w:b/>
                <w:bCs/>
                <w:color w:val="000000"/>
                <w:vertAlign w:val="subscript"/>
                <w:lang w:eastAsia="en-GB" w:bidi="ar-SA"/>
              </w:rPr>
              <w:t>2</w:t>
            </w:r>
            <w:r>
              <w:rPr>
                <w:rFonts w:eastAsia="Times New Roman"/>
                <w:b/>
                <w:bCs/>
                <w:color w:val="000000"/>
                <w:lang w:eastAsia="en-GB" w:bidi="ar-SA"/>
              </w:rPr>
              <w:t>e (buildings / WFH)</w:t>
            </w:r>
          </w:p>
        </w:tc>
      </w:tr>
      <w:tr w:rsidR="00434F17" w14:paraId="43863A19" w14:textId="77777777">
        <w:trPr>
          <w:trHeight w:val="345"/>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479059A"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3</w:t>
            </w:r>
          </w:p>
          <w:p w14:paraId="11D8DE08" w14:textId="77777777" w:rsidR="00434F17" w:rsidRDefault="00000000">
            <w:pPr>
              <w:suppressAutoHyphens w:val="0"/>
              <w:jc w:val="both"/>
              <w:textAlignment w:val="auto"/>
            </w:pPr>
            <w:r>
              <w:rPr>
                <w:rFonts w:eastAsia="Times New Roman"/>
                <w:b/>
                <w:bCs/>
                <w:color w:val="000000"/>
                <w:sz w:val="18"/>
                <w:szCs w:val="18"/>
                <w:lang w:eastAsia="en-GB" w:bidi="ar-SA"/>
              </w:rPr>
              <w:t>(Included Sources)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CAA0C3" w14:textId="77777777" w:rsidR="00434F17" w:rsidRDefault="00000000">
            <w:pPr>
              <w:suppressAutoHyphens w:val="0"/>
              <w:textAlignment w:val="auto"/>
            </w:pPr>
            <w:r>
              <w:rPr>
                <w:rFonts w:eastAsia="Times New Roman"/>
                <w:b/>
                <w:bCs/>
                <w:color w:val="000000"/>
                <w:position w:val="2"/>
                <w:lang w:eastAsia="en-GB" w:bidi="ar-SA"/>
              </w:rPr>
              <w:t>Scope 3 total, 5.3 tCO</w:t>
            </w:r>
            <w:r>
              <w:rPr>
                <w:rFonts w:eastAsia="Times New Roman"/>
                <w:b/>
                <w:bCs/>
                <w:color w:val="000000"/>
                <w:vertAlign w:val="subscript"/>
                <w:lang w:eastAsia="en-GB" w:bidi="ar-SA"/>
              </w:rPr>
              <w:t>2</w:t>
            </w:r>
            <w:r>
              <w:rPr>
                <w:rFonts w:eastAsia="Times New Roman"/>
                <w:b/>
                <w:bCs/>
                <w:color w:val="000000"/>
                <w:position w:val="2"/>
                <w:lang w:eastAsia="en-GB" w:bidi="ar-SA"/>
              </w:rPr>
              <w:t xml:space="preserve">e </w:t>
            </w:r>
            <w:r>
              <w:rPr>
                <w:rFonts w:eastAsia="Times New Roman"/>
                <w:color w:val="000000"/>
                <w:position w:val="2"/>
                <w:lang w:eastAsia="en-GB" w:bidi="ar-SA"/>
              </w:rPr>
              <w:t>(total)</w:t>
            </w:r>
          </w:p>
        </w:tc>
      </w:tr>
      <w:tr w:rsidR="00434F17" w14:paraId="33512D13" w14:textId="77777777">
        <w:trPr>
          <w:trHeight w:val="1694"/>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6FA215" w14:textId="77777777" w:rsidR="00434F17" w:rsidRDefault="00434F17">
            <w:pPr>
              <w:suppressAutoHyphens w:val="0"/>
              <w:jc w:val="both"/>
              <w:textAlignment w:val="auto"/>
              <w:rPr>
                <w:rFonts w:eastAsia="Times New Roman"/>
                <w:b/>
                <w:bCs/>
                <w:color w:val="000000"/>
                <w:sz w:val="18"/>
                <w:szCs w:val="18"/>
                <w:lang w:eastAsia="en-GB" w:bidi="ar-SA"/>
              </w:rPr>
            </w:pP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A9C0AB" w14:textId="77777777" w:rsidR="00434F17" w:rsidRDefault="00000000">
            <w:pPr>
              <w:suppressAutoHyphens w:val="0"/>
              <w:textAlignment w:val="auto"/>
            </w:pPr>
            <w:r>
              <w:rPr>
                <w:rFonts w:eastAsia="Times New Roman"/>
                <w:b/>
                <w:bCs/>
                <w:color w:val="000000"/>
                <w:lang w:eastAsia="en-GB" w:bidi="ar-SA"/>
              </w:rPr>
              <w:t>4. Upstream transportation and distribution</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we primarily provide our clients with services and solutions rather than goods, and as such, transportation and distribution of goods are not relevant</w:t>
            </w:r>
          </w:p>
        </w:tc>
      </w:tr>
      <w:tr w:rsidR="00434F17" w14:paraId="6287AA87" w14:textId="77777777">
        <w:trPr>
          <w:trHeight w:val="1265"/>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tcPr>
          <w:p w14:paraId="4C3AFA48"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A087D5" w14:textId="77777777" w:rsidR="00434F17" w:rsidRDefault="00000000">
            <w:pPr>
              <w:suppressAutoHyphens w:val="0"/>
              <w:textAlignment w:val="auto"/>
            </w:pPr>
            <w:r>
              <w:rPr>
                <w:rFonts w:eastAsia="Times New Roman"/>
                <w:b/>
                <w:bCs/>
                <w:color w:val="000000"/>
                <w:lang w:eastAsia="en-GB" w:bidi="ar-SA"/>
              </w:rPr>
              <w:t>5. Waste generated in operations</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waste generation is not a material source of GHG emissions</w:t>
            </w:r>
          </w:p>
        </w:tc>
      </w:tr>
      <w:tr w:rsidR="00434F17" w14:paraId="1B965006" w14:textId="77777777">
        <w:trPr>
          <w:trHeight w:val="12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E712"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9E51D7" w14:textId="77777777" w:rsidR="00434F17" w:rsidRDefault="00000000">
            <w:pPr>
              <w:suppressAutoHyphens w:val="0"/>
              <w:textAlignment w:val="auto"/>
            </w:pPr>
            <w:r>
              <w:rPr>
                <w:rFonts w:eastAsia="Times New Roman"/>
                <w:b/>
                <w:bCs/>
                <w:color w:val="000000"/>
                <w:lang w:eastAsia="en-GB" w:bidi="ar-SA"/>
              </w:rPr>
              <w:t>6. Business Travel, 5.3 tCO</w:t>
            </w:r>
            <w:r>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(total)</w:t>
            </w:r>
          </w:p>
          <w:p w14:paraId="20B676B4"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1.9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(cars &amp; vans)</w:t>
            </w:r>
          </w:p>
          <w:p w14:paraId="12F4A9D1"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3.3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(fuel)</w:t>
            </w:r>
          </w:p>
          <w:p w14:paraId="4F2362E8" w14:textId="77777777" w:rsidR="00434F17" w:rsidRDefault="00000000">
            <w:pPr>
              <w:pStyle w:val="ListParagraph"/>
              <w:numPr>
                <w:ilvl w:val="0"/>
                <w:numId w:val="4"/>
              </w:numPr>
              <w:suppressAutoHyphens w:val="0"/>
              <w:textAlignment w:val="auto"/>
            </w:pPr>
            <w:r>
              <w:rPr>
                <w:rFonts w:eastAsia="Times New Roman"/>
                <w:b/>
                <w:bCs/>
                <w:color w:val="000000"/>
                <w:lang w:eastAsia="en-GB" w:bidi="ar-SA"/>
              </w:rPr>
              <w:t>0.1 tCO</w:t>
            </w:r>
            <w:r w:rsidRPr="00995AB8">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(bus &amp; rail)</w:t>
            </w:r>
          </w:p>
        </w:tc>
      </w:tr>
      <w:tr w:rsidR="00434F17" w14:paraId="0D997CE4" w14:textId="77777777">
        <w:trPr>
          <w:trHeight w:val="2400"/>
        </w:trPr>
        <w:tc>
          <w:tcPr>
            <w:tcW w:w="2620" w:type="dxa"/>
            <w:tcBorders>
              <w:top w:val="single" w:sz="8" w:space="0" w:color="000000"/>
              <w:left w:val="single" w:sz="4" w:space="0" w:color="000000"/>
              <w:right w:val="single" w:sz="4" w:space="0" w:color="000000"/>
            </w:tcBorders>
            <w:shd w:val="clear" w:color="auto" w:fill="auto"/>
            <w:tcMar>
              <w:top w:w="0" w:type="dxa"/>
              <w:left w:w="108" w:type="dxa"/>
              <w:bottom w:w="0" w:type="dxa"/>
              <w:right w:w="108" w:type="dxa"/>
            </w:tcMar>
          </w:tcPr>
          <w:p w14:paraId="7088C5AD"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w:t>
            </w:r>
          </w:p>
        </w:tc>
        <w:tc>
          <w:tcPr>
            <w:tcW w:w="6800"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47356" w14:textId="77777777" w:rsidR="00434F17" w:rsidRDefault="00000000">
            <w:pPr>
              <w:suppressAutoHyphens w:val="0"/>
              <w:textAlignment w:val="auto"/>
            </w:pPr>
            <w:r>
              <w:rPr>
                <w:rFonts w:eastAsia="Times New Roman"/>
                <w:b/>
                <w:bCs/>
                <w:color w:val="000000"/>
                <w:lang w:eastAsia="en-GB" w:bidi="ar-SA"/>
              </w:rPr>
              <w:t xml:space="preserve">7. Employee commuting </w:t>
            </w:r>
            <w:r>
              <w:rPr>
                <w:rFonts w:eastAsia="Times New Roman"/>
                <w:color w:val="000000"/>
                <w:lang w:eastAsia="en-GB" w:bidi="ar-SA"/>
              </w:rPr>
              <w:t>= not relevant</w:t>
            </w:r>
            <w:r>
              <w:rPr>
                <w:rFonts w:eastAsia="Times New Roman"/>
                <w:b/>
                <w:bCs/>
                <w:color w:val="000000"/>
                <w:lang w:eastAsia="en-GB" w:bidi="ar-SA"/>
              </w:rPr>
              <w:br/>
            </w:r>
            <w:r>
              <w:rPr>
                <w:rFonts w:eastAsia="Times New Roman"/>
                <w:color w:val="000000"/>
                <w:lang w:eastAsia="en-GB" w:bidi="ar-SA"/>
              </w:rPr>
              <w:t>Employee-funded commuting is not within Bulien’s operational boundary/control and is not generally in scope for our environmental measurement programme. In some instances where employee commuting is reimbursed by Bulien, it is included in our Scope 3 methodology under Section 6: Business Travel. Due to the nature of our work, the majority of our employees’ travel is to client sites. Where this is reimbursed travel, it is included in our Scope 3 methodology reported under section 6: Business Travel.</w:t>
            </w:r>
          </w:p>
        </w:tc>
      </w:tr>
      <w:tr w:rsidR="00434F17" w14:paraId="260E248C" w14:textId="77777777">
        <w:trPr>
          <w:trHeight w:val="1413"/>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F7B7"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240CDB" w14:textId="77777777" w:rsidR="00434F17" w:rsidRDefault="00000000">
            <w:pPr>
              <w:suppressAutoHyphens w:val="0"/>
              <w:textAlignment w:val="auto"/>
            </w:pPr>
            <w:r>
              <w:rPr>
                <w:rFonts w:eastAsia="Times New Roman"/>
                <w:b/>
                <w:bCs/>
                <w:color w:val="000000"/>
                <w:lang w:val="en-US" w:eastAsia="en-GB" w:bidi="ar-SA"/>
              </w:rPr>
              <w:t>9. Downstream transportation and distribution</w:t>
            </w:r>
            <w:r>
              <w:rPr>
                <w:rFonts w:eastAsia="Times New Roman"/>
                <w:color w:val="000000"/>
                <w:lang w:val="en-US" w:eastAsia="en-GB" w:bidi="ar-SA"/>
              </w:rPr>
              <w:t xml:space="preserve"> = not relevant</w:t>
            </w:r>
            <w:r>
              <w:rPr>
                <w:rFonts w:eastAsia="Times New Roman"/>
                <w:color w:val="000000"/>
                <w:lang w:val="en-US" w:eastAsia="en-GB" w:bidi="ar-SA"/>
              </w:rPr>
              <w:br/>
              <w:t>Bulien is a professional services company with leading capabilities in digital, cloud and data. We offer strategy and consulting, interactive, technology and operations services. We do not transport or distribute a material number of products.</w:t>
            </w:r>
          </w:p>
        </w:tc>
      </w:tr>
      <w:tr w:rsidR="00434F17" w14:paraId="6E42EF77" w14:textId="77777777">
        <w:trPr>
          <w:trHeight w:val="345"/>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CD36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Total Emissions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67916E" w14:textId="77777777" w:rsidR="00434F17" w:rsidRDefault="00000000">
            <w:pPr>
              <w:suppressAutoHyphens w:val="0"/>
              <w:jc w:val="both"/>
              <w:textAlignment w:val="auto"/>
            </w:pPr>
            <w:r>
              <w:rPr>
                <w:rFonts w:eastAsia="Times New Roman"/>
                <w:b/>
                <w:bCs/>
                <w:color w:val="000000"/>
                <w:lang w:eastAsia="en-GB" w:bidi="ar-SA"/>
              </w:rPr>
              <w:t>7.5 tCO</w:t>
            </w:r>
            <w:r>
              <w:rPr>
                <w:rFonts w:eastAsia="Times New Roman"/>
                <w:b/>
                <w:bCs/>
                <w:color w:val="000000"/>
                <w:vertAlign w:val="subscript"/>
                <w:lang w:eastAsia="en-GB" w:bidi="ar-SA"/>
              </w:rPr>
              <w:t>2</w:t>
            </w:r>
            <w:r>
              <w:rPr>
                <w:rFonts w:eastAsia="Times New Roman"/>
                <w:b/>
                <w:bCs/>
                <w:color w:val="000000"/>
                <w:lang w:eastAsia="en-GB" w:bidi="ar-SA"/>
              </w:rPr>
              <w:t>e</w:t>
            </w:r>
          </w:p>
        </w:tc>
      </w:tr>
    </w:tbl>
    <w:p w14:paraId="18E9A583" w14:textId="77777777" w:rsidR="00434F17" w:rsidRDefault="00000000">
      <w:pPr>
        <w:pStyle w:val="Standard"/>
      </w:pPr>
      <w:r>
        <w:t xml:space="preserve"> </w:t>
      </w:r>
    </w:p>
    <w:p w14:paraId="567F610A" w14:textId="77777777" w:rsidR="00434F17" w:rsidRDefault="00434F17">
      <w:pPr>
        <w:pStyle w:val="Standard"/>
        <w:rPr>
          <w:b/>
          <w:sz w:val="28"/>
          <w:szCs w:val="28"/>
        </w:rPr>
      </w:pPr>
    </w:p>
    <w:p w14:paraId="6FBA9D4A" w14:textId="77777777" w:rsidR="00434F17" w:rsidRDefault="00000000">
      <w:pPr>
        <w:pStyle w:val="Standard"/>
        <w:rPr>
          <w:b/>
          <w:sz w:val="28"/>
          <w:szCs w:val="28"/>
        </w:rPr>
      </w:pPr>
      <w:r>
        <w:rPr>
          <w:b/>
          <w:sz w:val="28"/>
          <w:szCs w:val="28"/>
        </w:rPr>
        <w:t>Current Emissions Reporting</w:t>
      </w:r>
    </w:p>
    <w:p w14:paraId="653105DC" w14:textId="77777777" w:rsidR="00434F17" w:rsidRDefault="00434F17">
      <w:pPr>
        <w:pStyle w:val="Standard"/>
        <w:rPr>
          <w:b/>
          <w:sz w:val="28"/>
          <w:szCs w:val="28"/>
        </w:rPr>
      </w:pPr>
    </w:p>
    <w:tbl>
      <w:tblPr>
        <w:tblW w:w="9420" w:type="dxa"/>
        <w:tblCellMar>
          <w:left w:w="10" w:type="dxa"/>
          <w:right w:w="10" w:type="dxa"/>
        </w:tblCellMar>
        <w:tblLook w:val="0000" w:firstRow="0" w:lastRow="0" w:firstColumn="0" w:lastColumn="0" w:noHBand="0" w:noVBand="0"/>
      </w:tblPr>
      <w:tblGrid>
        <w:gridCol w:w="2620"/>
        <w:gridCol w:w="6800"/>
      </w:tblGrid>
      <w:tr w:rsidR="00434F17" w14:paraId="283F164A" w14:textId="77777777">
        <w:trPr>
          <w:trHeight w:val="300"/>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AAB01" w14:textId="493D150F"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Reporting Year: 2022</w:t>
            </w:r>
            <w:r w:rsidR="003A19B8">
              <w:rPr>
                <w:rFonts w:eastAsia="Times New Roman"/>
                <w:b/>
                <w:bCs/>
                <w:color w:val="000000"/>
                <w:lang w:eastAsia="en-GB" w:bidi="ar-SA"/>
              </w:rPr>
              <w:t xml:space="preserve"> (</w:t>
            </w:r>
            <w:r w:rsidR="004C1D7B">
              <w:rPr>
                <w:rFonts w:eastAsia="Times New Roman"/>
                <w:b/>
                <w:bCs/>
                <w:color w:val="000000"/>
                <w:lang w:eastAsia="en-GB" w:bidi="ar-SA"/>
              </w:rPr>
              <w:t>1</w:t>
            </w:r>
            <w:r w:rsidR="004C1D7B" w:rsidRPr="004C1D7B">
              <w:rPr>
                <w:rFonts w:eastAsia="Times New Roman"/>
                <w:b/>
                <w:bCs/>
                <w:color w:val="000000"/>
                <w:vertAlign w:val="superscript"/>
                <w:lang w:eastAsia="en-GB" w:bidi="ar-SA"/>
              </w:rPr>
              <w:t>st</w:t>
            </w:r>
            <w:r w:rsidR="004C1D7B">
              <w:rPr>
                <w:rFonts w:eastAsia="Times New Roman"/>
                <w:b/>
                <w:bCs/>
                <w:color w:val="000000"/>
                <w:lang w:eastAsia="en-GB" w:bidi="ar-SA"/>
              </w:rPr>
              <w:t xml:space="preserve"> January 2024</w:t>
            </w:r>
            <w:r w:rsidR="003A19B8">
              <w:rPr>
                <w:rFonts w:eastAsia="Times New Roman"/>
                <w:b/>
                <w:bCs/>
                <w:color w:val="000000"/>
                <w:lang w:eastAsia="en-GB" w:bidi="ar-SA"/>
              </w:rPr>
              <w:t xml:space="preserve"> – </w:t>
            </w:r>
            <w:r w:rsidR="004C1D7B">
              <w:rPr>
                <w:rFonts w:eastAsia="Times New Roman"/>
                <w:b/>
                <w:bCs/>
                <w:color w:val="000000"/>
                <w:lang w:eastAsia="en-GB" w:bidi="ar-SA"/>
              </w:rPr>
              <w:t>31</w:t>
            </w:r>
            <w:r w:rsidR="004C1D7B" w:rsidRPr="004C1D7B">
              <w:rPr>
                <w:rFonts w:eastAsia="Times New Roman"/>
                <w:b/>
                <w:bCs/>
                <w:color w:val="000000"/>
                <w:vertAlign w:val="superscript"/>
                <w:lang w:eastAsia="en-GB" w:bidi="ar-SA"/>
              </w:rPr>
              <w:t>st</w:t>
            </w:r>
            <w:r w:rsidR="004C1D7B">
              <w:rPr>
                <w:rFonts w:eastAsia="Times New Roman"/>
                <w:b/>
                <w:bCs/>
                <w:color w:val="000000"/>
                <w:lang w:eastAsia="en-GB" w:bidi="ar-SA"/>
              </w:rPr>
              <w:t xml:space="preserve"> </w:t>
            </w:r>
            <w:r w:rsidR="003A19B8">
              <w:rPr>
                <w:rFonts w:eastAsia="Times New Roman"/>
                <w:b/>
                <w:bCs/>
                <w:color w:val="000000"/>
                <w:lang w:eastAsia="en-GB" w:bidi="ar-SA"/>
              </w:rPr>
              <w:t>December 202</w:t>
            </w:r>
            <w:r w:rsidR="004C1D7B">
              <w:rPr>
                <w:rFonts w:eastAsia="Times New Roman"/>
                <w:b/>
                <w:bCs/>
                <w:color w:val="000000"/>
                <w:lang w:eastAsia="en-GB" w:bidi="ar-SA"/>
              </w:rPr>
              <w:t>4</w:t>
            </w:r>
            <w:r w:rsidR="00995AB8">
              <w:rPr>
                <w:rFonts w:eastAsia="Times New Roman"/>
                <w:b/>
                <w:bCs/>
                <w:color w:val="000000"/>
                <w:lang w:eastAsia="en-GB" w:bidi="ar-SA"/>
              </w:rPr>
              <w:t>)</w:t>
            </w:r>
          </w:p>
        </w:tc>
      </w:tr>
      <w:tr w:rsidR="00434F17" w14:paraId="127E37B7"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CEF4"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Additional Details relating to the Reporting Emissions calculations.</w:t>
            </w:r>
          </w:p>
        </w:tc>
      </w:tr>
      <w:tr w:rsidR="00434F17" w14:paraId="2D26973E" w14:textId="77777777">
        <w:trPr>
          <w:trHeight w:val="9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C2F7D" w14:textId="70A77379" w:rsidR="00434F17" w:rsidRDefault="004C1D7B">
            <w:pPr>
              <w:suppressAutoHyphens w:val="0"/>
              <w:jc w:val="both"/>
              <w:textAlignment w:val="auto"/>
              <w:rPr>
                <w:rFonts w:eastAsia="Times New Roman"/>
                <w:i/>
                <w:iCs/>
                <w:color w:val="000000"/>
                <w:lang w:eastAsia="en-GB" w:bidi="ar-SA"/>
              </w:rPr>
            </w:pPr>
            <w:r>
              <w:rPr>
                <w:rFonts w:eastAsia="Times New Roman"/>
                <w:i/>
                <w:iCs/>
                <w:color w:val="000000"/>
                <w:lang w:eastAsia="en-GB" w:bidi="ar-SA"/>
              </w:rPr>
              <w:t>2024 has seen an increase in emissions linked entirely to the expansion of the team organisation.</w:t>
            </w:r>
            <w:r w:rsidR="00000000">
              <w:rPr>
                <w:rFonts w:eastAsia="Times New Roman"/>
                <w:i/>
                <w:iCs/>
                <w:color w:val="000000"/>
                <w:lang w:eastAsia="en-GB" w:bidi="ar-SA"/>
              </w:rPr>
              <w:t xml:space="preserve">  </w:t>
            </w:r>
            <w:r>
              <w:rPr>
                <w:rFonts w:eastAsia="Times New Roman"/>
                <w:i/>
                <w:iCs/>
                <w:color w:val="000000"/>
                <w:lang w:eastAsia="en-GB" w:bidi="ar-SA"/>
              </w:rPr>
              <w:t xml:space="preserve">An increase in headcount and service delivery. </w:t>
            </w:r>
            <w:r w:rsidR="00000000">
              <w:rPr>
                <w:rFonts w:eastAsia="Times New Roman"/>
                <w:i/>
                <w:iCs/>
                <w:color w:val="000000"/>
                <w:lang w:eastAsia="en-GB" w:bidi="ar-SA"/>
              </w:rPr>
              <w:t>Bulien remains fully committed to a work from home culture and to planting trees to help combat climate change.</w:t>
            </w:r>
          </w:p>
        </w:tc>
      </w:tr>
      <w:tr w:rsidR="00434F17" w14:paraId="52B601F1" w14:textId="77777777">
        <w:trPr>
          <w:trHeight w:val="315"/>
        </w:trPr>
        <w:tc>
          <w:tcPr>
            <w:tcW w:w="9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4EE48" w14:textId="516099F4" w:rsidR="00434F17" w:rsidRDefault="00995AB8">
            <w:pPr>
              <w:suppressAutoHyphens w:val="0"/>
              <w:jc w:val="both"/>
              <w:textAlignment w:val="auto"/>
              <w:rPr>
                <w:rFonts w:eastAsia="Times New Roman"/>
                <w:b/>
                <w:bCs/>
                <w:color w:val="000000"/>
                <w:lang w:eastAsia="en-GB" w:bidi="ar-SA"/>
              </w:rPr>
            </w:pPr>
            <w:r>
              <w:rPr>
                <w:rFonts w:eastAsia="Times New Roman"/>
                <w:b/>
                <w:bCs/>
                <w:color w:val="000000"/>
                <w:lang w:eastAsia="en-GB" w:bidi="ar-SA"/>
              </w:rPr>
              <w:t>Reporting year emissions:</w:t>
            </w:r>
          </w:p>
        </w:tc>
      </w:tr>
      <w:tr w:rsidR="00434F17" w14:paraId="7687647D" w14:textId="77777777">
        <w:trPr>
          <w:trHeight w:val="3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566D3"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EMISSIONS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F6722F" w14:textId="77777777" w:rsidR="00434F17" w:rsidRDefault="00000000">
            <w:pPr>
              <w:suppressAutoHyphens w:val="0"/>
              <w:jc w:val="both"/>
              <w:textAlignment w:val="auto"/>
            </w:pPr>
            <w:r>
              <w:rPr>
                <w:rFonts w:eastAsia="Times New Roman"/>
                <w:b/>
                <w:bCs/>
                <w:color w:val="000000"/>
                <w:lang w:eastAsia="en-GB" w:bidi="ar-SA"/>
              </w:rPr>
              <w:t>TOTAL (tCO</w:t>
            </w:r>
            <w:r>
              <w:rPr>
                <w:rFonts w:eastAsia="Times New Roman"/>
                <w:b/>
                <w:bCs/>
                <w:color w:val="000000"/>
                <w:vertAlign w:val="subscript"/>
                <w:lang w:eastAsia="en-GB" w:bidi="ar-SA"/>
              </w:rPr>
              <w:t>2</w:t>
            </w:r>
            <w:r>
              <w:rPr>
                <w:rFonts w:eastAsia="Times New Roman"/>
                <w:b/>
                <w:bCs/>
                <w:color w:val="000000"/>
                <w:lang w:eastAsia="en-GB" w:bidi="ar-SA"/>
              </w:rPr>
              <w:t>e)</w:t>
            </w:r>
          </w:p>
        </w:tc>
      </w:tr>
      <w:tr w:rsidR="00434F17" w14:paraId="15369050" w14:textId="77777777">
        <w:trPr>
          <w:trHeight w:val="3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7136F"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1</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216543" w14:textId="77777777" w:rsidR="00434F17" w:rsidRDefault="00000000">
            <w:pPr>
              <w:suppressAutoHyphens w:val="0"/>
              <w:jc w:val="both"/>
              <w:textAlignment w:val="auto"/>
            </w:pPr>
            <w:r>
              <w:rPr>
                <w:rFonts w:eastAsia="Times New Roman"/>
                <w:b/>
                <w:bCs/>
                <w:color w:val="000000"/>
                <w:lang w:eastAsia="en-GB" w:bidi="ar-SA"/>
              </w:rPr>
              <w:t>0 tCO</w:t>
            </w:r>
            <w:r>
              <w:rPr>
                <w:rFonts w:eastAsia="Times New Roman"/>
                <w:b/>
                <w:bCs/>
                <w:color w:val="000000"/>
                <w:vertAlign w:val="subscript"/>
                <w:lang w:eastAsia="en-GB" w:bidi="ar-SA"/>
              </w:rPr>
              <w:t>2</w:t>
            </w:r>
            <w:r>
              <w:rPr>
                <w:rFonts w:eastAsia="Times New Roman"/>
                <w:b/>
                <w:bCs/>
                <w:color w:val="000000"/>
                <w:lang w:eastAsia="en-GB" w:bidi="ar-SA"/>
              </w:rPr>
              <w:t>e (we sell software &amp; consultancy)</w:t>
            </w:r>
          </w:p>
        </w:tc>
      </w:tr>
      <w:tr w:rsidR="00434F17" w14:paraId="2B53B852" w14:textId="77777777">
        <w:trPr>
          <w:trHeight w:val="3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AFFC9"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2</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43C118" w14:textId="7039D067" w:rsidR="00434F17" w:rsidRDefault="004C1D7B">
            <w:pPr>
              <w:suppressAutoHyphens w:val="0"/>
              <w:jc w:val="both"/>
              <w:textAlignment w:val="auto"/>
            </w:pPr>
            <w:r>
              <w:rPr>
                <w:rFonts w:eastAsia="Times New Roman"/>
                <w:b/>
                <w:bCs/>
                <w:color w:val="000000"/>
                <w:lang w:eastAsia="en-GB" w:bidi="ar-SA"/>
              </w:rPr>
              <w:t>4</w:t>
            </w:r>
            <w:r w:rsidR="004559E0">
              <w:rPr>
                <w:rFonts w:eastAsia="Times New Roman"/>
                <w:b/>
                <w:bCs/>
                <w:color w:val="000000"/>
                <w:lang w:eastAsia="en-GB" w:bidi="ar-SA"/>
              </w:rPr>
              <w:t>.5 tCO</w:t>
            </w:r>
            <w:r w:rsidR="004559E0">
              <w:rPr>
                <w:rFonts w:eastAsia="Times New Roman"/>
                <w:b/>
                <w:bCs/>
                <w:color w:val="000000"/>
                <w:vertAlign w:val="subscript"/>
                <w:lang w:eastAsia="en-GB" w:bidi="ar-SA"/>
              </w:rPr>
              <w:t>2</w:t>
            </w:r>
            <w:r w:rsidR="004559E0">
              <w:rPr>
                <w:rFonts w:eastAsia="Times New Roman"/>
                <w:b/>
                <w:bCs/>
                <w:color w:val="000000"/>
                <w:lang w:eastAsia="en-GB" w:bidi="ar-SA"/>
              </w:rPr>
              <w:t>e (WFH)</w:t>
            </w:r>
          </w:p>
        </w:tc>
      </w:tr>
      <w:tr w:rsidR="00434F17" w14:paraId="6E449996" w14:textId="77777777">
        <w:trPr>
          <w:trHeight w:val="330"/>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DDF265" w14:textId="77777777" w:rsidR="00DD31E8" w:rsidRDefault="00DD31E8" w:rsidP="00DD31E8">
            <w:pPr>
              <w:suppressAutoHyphens w:val="0"/>
              <w:jc w:val="both"/>
              <w:textAlignment w:val="auto"/>
              <w:rPr>
                <w:rFonts w:eastAsia="Times New Roman"/>
                <w:b/>
                <w:bCs/>
                <w:color w:val="000000"/>
                <w:lang w:eastAsia="en-GB" w:bidi="ar-SA"/>
              </w:rPr>
            </w:pPr>
            <w:r>
              <w:rPr>
                <w:rFonts w:eastAsia="Times New Roman"/>
                <w:b/>
                <w:bCs/>
                <w:color w:val="000000"/>
                <w:lang w:eastAsia="en-GB" w:bidi="ar-SA"/>
              </w:rPr>
              <w:t>Scope 3</w:t>
            </w:r>
          </w:p>
          <w:p w14:paraId="45D2EC58" w14:textId="32A8E6D5" w:rsidR="00434F17" w:rsidRDefault="00DD31E8" w:rsidP="00DD31E8">
            <w:pPr>
              <w:suppressAutoHyphens w:val="0"/>
              <w:jc w:val="both"/>
              <w:textAlignment w:val="auto"/>
              <w:rPr>
                <w:rFonts w:eastAsia="Times New Roman"/>
                <w:b/>
                <w:bCs/>
                <w:color w:val="000000"/>
                <w:lang w:eastAsia="en-GB" w:bidi="ar-SA"/>
              </w:rPr>
            </w:pPr>
            <w:r>
              <w:rPr>
                <w:rFonts w:eastAsia="Times New Roman"/>
                <w:b/>
                <w:bCs/>
                <w:color w:val="000000"/>
                <w:sz w:val="18"/>
                <w:szCs w:val="18"/>
                <w:lang w:eastAsia="en-GB" w:bidi="ar-SA"/>
              </w:rPr>
              <w:t>(Included Sources)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C1BB8B" w14:textId="2DD659A8" w:rsidR="00434F17" w:rsidRDefault="004C1D7B">
            <w:pPr>
              <w:suppressAutoHyphens w:val="0"/>
              <w:textAlignment w:val="auto"/>
            </w:pPr>
            <w:r>
              <w:rPr>
                <w:rFonts w:eastAsia="Times New Roman"/>
                <w:b/>
                <w:bCs/>
                <w:color w:val="000000"/>
                <w:position w:val="2"/>
                <w:lang w:eastAsia="en-GB" w:bidi="ar-SA"/>
              </w:rPr>
              <w:t>32.53</w:t>
            </w:r>
            <w:r w:rsidR="004559E0">
              <w:rPr>
                <w:rFonts w:eastAsia="Times New Roman"/>
                <w:b/>
                <w:bCs/>
                <w:color w:val="000000"/>
                <w:position w:val="2"/>
                <w:lang w:eastAsia="en-GB" w:bidi="ar-SA"/>
              </w:rPr>
              <w:t xml:space="preserve"> tCO</w:t>
            </w:r>
            <w:r w:rsidR="004559E0">
              <w:rPr>
                <w:rFonts w:eastAsia="Times New Roman"/>
                <w:b/>
                <w:bCs/>
                <w:color w:val="000000"/>
                <w:vertAlign w:val="subscript"/>
                <w:lang w:eastAsia="en-GB" w:bidi="ar-SA"/>
              </w:rPr>
              <w:t>2</w:t>
            </w:r>
            <w:r w:rsidR="004559E0">
              <w:rPr>
                <w:rFonts w:eastAsia="Times New Roman"/>
                <w:b/>
                <w:bCs/>
                <w:color w:val="000000"/>
                <w:position w:val="2"/>
                <w:lang w:eastAsia="en-GB" w:bidi="ar-SA"/>
              </w:rPr>
              <w:t xml:space="preserve">e </w:t>
            </w:r>
            <w:r w:rsidR="004559E0" w:rsidRPr="004559E0">
              <w:rPr>
                <w:rFonts w:eastAsia="Times New Roman"/>
                <w:b/>
                <w:bCs/>
                <w:color w:val="000000"/>
                <w:position w:val="2"/>
                <w:lang w:eastAsia="en-GB" w:bidi="ar-SA"/>
              </w:rPr>
              <w:t>(total)</w:t>
            </w:r>
          </w:p>
        </w:tc>
      </w:tr>
      <w:tr w:rsidR="00434F17" w14:paraId="2969D425" w14:textId="77777777">
        <w:trPr>
          <w:trHeight w:val="1725"/>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tcPr>
          <w:p w14:paraId="58C50461" w14:textId="2F359D38" w:rsidR="00434F17" w:rsidRDefault="00434F17">
            <w:pPr>
              <w:suppressAutoHyphens w:val="0"/>
              <w:jc w:val="both"/>
              <w:textAlignment w:val="auto"/>
              <w:rPr>
                <w:rFonts w:eastAsia="Times New Roman"/>
                <w:b/>
                <w:bCs/>
                <w:color w:val="000000"/>
                <w:sz w:val="18"/>
                <w:szCs w:val="18"/>
                <w:lang w:eastAsia="en-GB" w:bidi="ar-SA"/>
              </w:rPr>
            </w:pP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45E4DE" w14:textId="77777777" w:rsidR="00434F17" w:rsidRDefault="00000000">
            <w:pPr>
              <w:suppressAutoHyphens w:val="0"/>
              <w:textAlignment w:val="auto"/>
            </w:pPr>
            <w:r>
              <w:rPr>
                <w:rFonts w:eastAsia="Times New Roman"/>
                <w:b/>
                <w:bCs/>
                <w:color w:val="000000"/>
                <w:lang w:eastAsia="en-GB" w:bidi="ar-SA"/>
              </w:rPr>
              <w:t>4. Upstream transportation and distribution</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we primarily provide our clients with services and solutions rather than goods, and as such, transportation and distribution of goods are not relevant</w:t>
            </w:r>
          </w:p>
        </w:tc>
      </w:tr>
      <w:tr w:rsidR="00434F17" w14:paraId="6BFCBDEB" w14:textId="77777777">
        <w:trPr>
          <w:trHeight w:val="1155"/>
        </w:trPr>
        <w:tc>
          <w:tcPr>
            <w:tcW w:w="2620" w:type="dxa"/>
            <w:tcBorders>
              <w:left w:val="single" w:sz="4" w:space="0" w:color="000000"/>
              <w:right w:val="single" w:sz="4" w:space="0" w:color="000000"/>
            </w:tcBorders>
            <w:shd w:val="clear" w:color="auto" w:fill="auto"/>
            <w:tcMar>
              <w:top w:w="0" w:type="dxa"/>
              <w:left w:w="108" w:type="dxa"/>
              <w:bottom w:w="0" w:type="dxa"/>
              <w:right w:w="108" w:type="dxa"/>
            </w:tcMar>
          </w:tcPr>
          <w:p w14:paraId="5BFC4B75"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E7B44C" w14:textId="77777777" w:rsidR="00434F17" w:rsidRDefault="00000000">
            <w:pPr>
              <w:suppressAutoHyphens w:val="0"/>
              <w:textAlignment w:val="auto"/>
            </w:pPr>
            <w:r>
              <w:rPr>
                <w:rFonts w:eastAsia="Times New Roman"/>
                <w:b/>
                <w:bCs/>
                <w:color w:val="000000"/>
                <w:lang w:eastAsia="en-GB" w:bidi="ar-SA"/>
              </w:rPr>
              <w:t>5. Waste generated in operations</w:t>
            </w:r>
            <w:r>
              <w:rPr>
                <w:rFonts w:eastAsia="Times New Roman"/>
                <w:color w:val="000000"/>
                <w:lang w:eastAsia="en-GB" w:bidi="ar-SA"/>
              </w:rPr>
              <w:t xml:space="preserve"> = not relevant</w:t>
            </w:r>
            <w:r>
              <w:rPr>
                <w:rFonts w:eastAsia="Times New Roman"/>
                <w:b/>
                <w:bCs/>
                <w:color w:val="000000"/>
                <w:lang w:eastAsia="en-GB" w:bidi="ar-SA"/>
              </w:rPr>
              <w:br/>
            </w:r>
            <w:r>
              <w:rPr>
                <w:rFonts w:eastAsia="Times New Roman"/>
                <w:color w:val="000000"/>
                <w:lang w:eastAsia="en-GB" w:bidi="ar-SA"/>
              </w:rPr>
              <w:t>Bulien is a professional services company with leading capabilities in digital, cloud and data. Due to the nature of our business, waste generation is not a material source of GHG emissions</w:t>
            </w:r>
          </w:p>
        </w:tc>
      </w:tr>
      <w:tr w:rsidR="00434F17" w14:paraId="013F9173" w14:textId="77777777">
        <w:trPr>
          <w:trHeight w:val="12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D961"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B64591" w14:textId="72D0DBBF" w:rsidR="00434F17" w:rsidRDefault="00000000">
            <w:pPr>
              <w:suppressAutoHyphens w:val="0"/>
              <w:textAlignment w:val="auto"/>
            </w:pPr>
            <w:r>
              <w:rPr>
                <w:rFonts w:eastAsia="Times New Roman"/>
                <w:b/>
                <w:bCs/>
                <w:color w:val="000000"/>
                <w:lang w:eastAsia="en-GB" w:bidi="ar-SA"/>
              </w:rPr>
              <w:t xml:space="preserve">6. Business Travel, </w:t>
            </w:r>
            <w:r w:rsidR="004559E0">
              <w:rPr>
                <w:rFonts w:eastAsia="Times New Roman"/>
                <w:b/>
                <w:bCs/>
                <w:color w:val="000000"/>
                <w:lang w:eastAsia="en-GB" w:bidi="ar-SA"/>
              </w:rPr>
              <w:t>21.5</w:t>
            </w:r>
            <w:r>
              <w:rPr>
                <w:rFonts w:eastAsia="Times New Roman"/>
                <w:b/>
                <w:bCs/>
                <w:color w:val="000000"/>
                <w:lang w:eastAsia="en-GB" w:bidi="ar-SA"/>
              </w:rPr>
              <w:t xml:space="preserve"> tCO</w:t>
            </w:r>
            <w:r>
              <w:rPr>
                <w:rFonts w:eastAsia="Times New Roman"/>
                <w:b/>
                <w:bCs/>
                <w:color w:val="000000"/>
                <w:vertAlign w:val="subscript"/>
                <w:lang w:eastAsia="en-GB" w:bidi="ar-SA"/>
              </w:rPr>
              <w:t>2</w:t>
            </w:r>
            <w:r>
              <w:rPr>
                <w:rFonts w:eastAsia="Times New Roman"/>
                <w:b/>
                <w:bCs/>
                <w:color w:val="000000"/>
                <w:lang w:eastAsia="en-GB" w:bidi="ar-SA"/>
              </w:rPr>
              <w:t xml:space="preserve">e </w:t>
            </w:r>
            <w:r>
              <w:rPr>
                <w:rFonts w:eastAsia="Times New Roman"/>
                <w:color w:val="000000"/>
                <w:lang w:eastAsia="en-GB" w:bidi="ar-SA"/>
              </w:rPr>
              <w:t>(total)</w:t>
            </w:r>
          </w:p>
          <w:p w14:paraId="199791A9" w14:textId="1FADA4DD" w:rsidR="00434F17" w:rsidRDefault="004C1D7B">
            <w:pPr>
              <w:pStyle w:val="ListParagraph"/>
              <w:numPr>
                <w:ilvl w:val="0"/>
                <w:numId w:val="5"/>
              </w:numPr>
              <w:suppressAutoHyphens w:val="0"/>
              <w:textAlignment w:val="auto"/>
            </w:pPr>
            <w:r>
              <w:rPr>
                <w:rFonts w:eastAsia="Times New Roman"/>
                <w:b/>
                <w:bCs/>
                <w:color w:val="000000"/>
                <w:lang w:eastAsia="en-GB" w:bidi="ar-SA"/>
              </w:rPr>
              <w:t xml:space="preserve">6.06 </w:t>
            </w:r>
            <w:r w:rsidR="004559E0">
              <w:rPr>
                <w:rFonts w:eastAsia="Times New Roman"/>
                <w:b/>
                <w:bCs/>
                <w:color w:val="000000"/>
                <w:lang w:eastAsia="en-GB" w:bidi="ar-SA"/>
              </w:rPr>
              <w:t>tCO</w:t>
            </w:r>
            <w:r w:rsidR="004559E0" w:rsidRPr="00995AB8">
              <w:rPr>
                <w:rFonts w:eastAsia="Times New Roman"/>
                <w:b/>
                <w:bCs/>
                <w:color w:val="000000"/>
                <w:vertAlign w:val="subscript"/>
                <w:lang w:eastAsia="en-GB" w:bidi="ar-SA"/>
              </w:rPr>
              <w:t>2</w:t>
            </w:r>
            <w:r w:rsidR="004559E0">
              <w:rPr>
                <w:rFonts w:eastAsia="Times New Roman"/>
                <w:b/>
                <w:bCs/>
                <w:color w:val="000000"/>
                <w:lang w:eastAsia="en-GB" w:bidi="ar-SA"/>
              </w:rPr>
              <w:t>e</w:t>
            </w:r>
            <w:r w:rsidR="004559E0">
              <w:rPr>
                <w:rFonts w:eastAsia="Times New Roman"/>
                <w:color w:val="000000"/>
                <w:lang w:eastAsia="en-GB" w:bidi="ar-SA"/>
              </w:rPr>
              <w:t xml:space="preserve"> (cars &amp; vans, inc. fuel)</w:t>
            </w:r>
          </w:p>
          <w:p w14:paraId="66BBCCE5" w14:textId="01CBF50C" w:rsidR="00434F17" w:rsidRDefault="004C1D7B">
            <w:pPr>
              <w:pStyle w:val="ListParagraph"/>
              <w:numPr>
                <w:ilvl w:val="0"/>
                <w:numId w:val="5"/>
              </w:numPr>
              <w:suppressAutoHyphens w:val="0"/>
              <w:textAlignment w:val="auto"/>
            </w:pPr>
            <w:r>
              <w:rPr>
                <w:rFonts w:eastAsia="Times New Roman"/>
                <w:b/>
                <w:bCs/>
                <w:color w:val="000000"/>
                <w:lang w:eastAsia="en-GB" w:bidi="ar-SA"/>
              </w:rPr>
              <w:t>25.89</w:t>
            </w:r>
            <w:r w:rsidR="004559E0">
              <w:rPr>
                <w:rFonts w:eastAsia="Times New Roman"/>
                <w:b/>
                <w:bCs/>
                <w:color w:val="000000"/>
                <w:lang w:eastAsia="en-GB" w:bidi="ar-SA"/>
              </w:rPr>
              <w:t xml:space="preserve"> tCO</w:t>
            </w:r>
            <w:r w:rsidR="004559E0" w:rsidRPr="00995AB8">
              <w:rPr>
                <w:rFonts w:eastAsia="Times New Roman"/>
                <w:b/>
                <w:bCs/>
                <w:color w:val="000000"/>
                <w:vertAlign w:val="subscript"/>
                <w:lang w:eastAsia="en-GB" w:bidi="ar-SA"/>
              </w:rPr>
              <w:t>2</w:t>
            </w:r>
            <w:r w:rsidR="004559E0">
              <w:rPr>
                <w:rFonts w:eastAsia="Times New Roman"/>
                <w:b/>
                <w:bCs/>
                <w:color w:val="000000"/>
                <w:lang w:eastAsia="en-GB" w:bidi="ar-SA"/>
              </w:rPr>
              <w:t>e</w:t>
            </w:r>
            <w:r w:rsidR="004559E0">
              <w:rPr>
                <w:rFonts w:eastAsia="Times New Roman"/>
                <w:color w:val="000000"/>
                <w:lang w:eastAsia="en-GB" w:bidi="ar-SA"/>
              </w:rPr>
              <w:t xml:space="preserve"> (flights)</w:t>
            </w:r>
          </w:p>
          <w:p w14:paraId="4DB0587D" w14:textId="6BC45B5E" w:rsidR="00434F17" w:rsidRDefault="004559E0">
            <w:pPr>
              <w:pStyle w:val="ListParagraph"/>
              <w:numPr>
                <w:ilvl w:val="0"/>
                <w:numId w:val="5"/>
              </w:numPr>
              <w:suppressAutoHyphens w:val="0"/>
              <w:textAlignment w:val="auto"/>
            </w:pPr>
            <w:r>
              <w:rPr>
                <w:rFonts w:eastAsia="Times New Roman"/>
                <w:b/>
                <w:bCs/>
                <w:color w:val="000000"/>
                <w:lang w:eastAsia="en-GB" w:bidi="ar-SA"/>
              </w:rPr>
              <w:t>0.</w:t>
            </w:r>
            <w:r w:rsidR="004C1D7B">
              <w:rPr>
                <w:rFonts w:eastAsia="Times New Roman"/>
                <w:b/>
                <w:bCs/>
                <w:color w:val="000000"/>
                <w:lang w:eastAsia="en-GB" w:bidi="ar-SA"/>
              </w:rPr>
              <w:t>58</w:t>
            </w:r>
            <w:r>
              <w:rPr>
                <w:rFonts w:eastAsia="Times New Roman"/>
                <w:b/>
                <w:bCs/>
                <w:color w:val="000000"/>
                <w:lang w:eastAsia="en-GB" w:bidi="ar-SA"/>
              </w:rPr>
              <w:t xml:space="preserve"> tCO</w:t>
            </w:r>
            <w:r w:rsidRPr="00995AB8">
              <w:rPr>
                <w:rFonts w:eastAsia="Times New Roman"/>
                <w:b/>
                <w:bCs/>
                <w:color w:val="000000"/>
                <w:vertAlign w:val="subscript"/>
                <w:lang w:eastAsia="en-GB" w:bidi="ar-SA"/>
              </w:rPr>
              <w:t>2</w:t>
            </w:r>
            <w:r>
              <w:rPr>
                <w:rFonts w:eastAsia="Times New Roman"/>
                <w:b/>
                <w:bCs/>
                <w:color w:val="000000"/>
                <w:lang w:eastAsia="en-GB" w:bidi="ar-SA"/>
              </w:rPr>
              <w:t>e</w:t>
            </w:r>
            <w:r>
              <w:rPr>
                <w:rFonts w:eastAsia="Times New Roman"/>
                <w:color w:val="000000"/>
                <w:lang w:eastAsia="en-GB" w:bidi="ar-SA"/>
              </w:rPr>
              <w:t xml:space="preserve"> (bus &amp; rail)</w:t>
            </w:r>
          </w:p>
        </w:tc>
      </w:tr>
      <w:tr w:rsidR="00434F17" w14:paraId="273694D2" w14:textId="77777777">
        <w:trPr>
          <w:trHeight w:val="2390"/>
        </w:trPr>
        <w:tc>
          <w:tcPr>
            <w:tcW w:w="2620" w:type="dxa"/>
            <w:tcBorders>
              <w:top w:val="single" w:sz="8" w:space="0" w:color="000000"/>
              <w:left w:val="single" w:sz="4" w:space="0" w:color="000000"/>
              <w:right w:val="single" w:sz="4" w:space="0" w:color="000000"/>
            </w:tcBorders>
            <w:shd w:val="clear" w:color="auto" w:fill="auto"/>
            <w:tcMar>
              <w:top w:w="0" w:type="dxa"/>
              <w:left w:w="108" w:type="dxa"/>
              <w:bottom w:w="0" w:type="dxa"/>
              <w:right w:w="108" w:type="dxa"/>
            </w:tcMar>
          </w:tcPr>
          <w:p w14:paraId="7EBB9AAD"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w:t>
            </w:r>
          </w:p>
        </w:tc>
        <w:tc>
          <w:tcPr>
            <w:tcW w:w="6800"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9DE00" w14:textId="77777777" w:rsidR="00434F17" w:rsidRDefault="00000000">
            <w:pPr>
              <w:suppressAutoHyphens w:val="0"/>
              <w:textAlignment w:val="auto"/>
            </w:pPr>
            <w:r>
              <w:rPr>
                <w:rFonts w:eastAsia="Times New Roman"/>
                <w:b/>
                <w:bCs/>
                <w:color w:val="000000"/>
                <w:lang w:eastAsia="en-GB" w:bidi="ar-SA"/>
              </w:rPr>
              <w:t xml:space="preserve">7. Employee commuting </w:t>
            </w:r>
            <w:r>
              <w:rPr>
                <w:rFonts w:eastAsia="Times New Roman"/>
                <w:color w:val="000000"/>
                <w:lang w:eastAsia="en-GB" w:bidi="ar-SA"/>
              </w:rPr>
              <w:t>= not relevant</w:t>
            </w:r>
            <w:r>
              <w:rPr>
                <w:rFonts w:eastAsia="Times New Roman"/>
                <w:b/>
                <w:bCs/>
                <w:color w:val="000000"/>
                <w:lang w:eastAsia="en-GB" w:bidi="ar-SA"/>
              </w:rPr>
              <w:br/>
            </w:r>
            <w:r>
              <w:rPr>
                <w:rFonts w:eastAsia="Times New Roman"/>
                <w:color w:val="000000"/>
                <w:lang w:eastAsia="en-GB" w:bidi="ar-SA"/>
              </w:rPr>
              <w:t>Employee-funded commuting is not within Bulien’s operational boundary/control and is not generally in scope for our environmental measurement programme. In some instances where employee commuting is reimbursed by Bulien, it is included in our Scope 3 methodology under Section 6: Business Travel. Due to the nature of our work, the majority of our employees’ travel is to client sites. Where this is reimbursed travel, it is included in our Scope 3 methodology reported under section 6: Business Travel.</w:t>
            </w:r>
          </w:p>
        </w:tc>
      </w:tr>
      <w:tr w:rsidR="00434F17" w14:paraId="2A10D59E" w14:textId="77777777">
        <w:trPr>
          <w:trHeight w:val="144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08A3" w14:textId="77777777" w:rsidR="00434F17" w:rsidRDefault="00000000">
            <w:pPr>
              <w:suppressAutoHyphens w:val="0"/>
              <w:textAlignment w:val="auto"/>
              <w:rPr>
                <w:rFonts w:ascii="Calibri" w:eastAsia="Times New Roman" w:hAnsi="Calibri" w:cs="Calibri"/>
                <w:color w:val="000000"/>
                <w:lang w:eastAsia="en-GB" w:bidi="ar-SA"/>
              </w:rPr>
            </w:pPr>
            <w:r>
              <w:rPr>
                <w:rFonts w:ascii="Calibri" w:eastAsia="Times New Roman" w:hAnsi="Calibri" w:cs="Calibri"/>
                <w:color w:val="000000"/>
                <w:lang w:eastAsia="en-GB" w:bidi="ar-SA"/>
              </w:rPr>
              <w:t> </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7058F1" w14:textId="77777777" w:rsidR="00434F17" w:rsidRDefault="00000000">
            <w:pPr>
              <w:suppressAutoHyphens w:val="0"/>
              <w:textAlignment w:val="auto"/>
            </w:pPr>
            <w:r>
              <w:rPr>
                <w:rFonts w:eastAsia="Times New Roman"/>
                <w:b/>
                <w:bCs/>
                <w:color w:val="000000"/>
                <w:lang w:val="en-US" w:eastAsia="en-GB" w:bidi="ar-SA"/>
              </w:rPr>
              <w:t>9. Downstream transportation and distribution</w:t>
            </w:r>
            <w:r>
              <w:rPr>
                <w:rFonts w:eastAsia="Times New Roman"/>
                <w:color w:val="000000"/>
                <w:lang w:val="en-US" w:eastAsia="en-GB" w:bidi="ar-SA"/>
              </w:rPr>
              <w:t xml:space="preserve"> = not relevant</w:t>
            </w:r>
            <w:r>
              <w:rPr>
                <w:rFonts w:eastAsia="Times New Roman"/>
                <w:color w:val="000000"/>
                <w:lang w:val="en-US" w:eastAsia="en-GB" w:bidi="ar-SA"/>
              </w:rPr>
              <w:br/>
              <w:t>Bulien is a professional services company with leading capabilities in digital, cloud and data. We offer strategy and consulting, interactive, technology and operations services. We do not transport or distribute a material number of products.</w:t>
            </w:r>
          </w:p>
        </w:tc>
      </w:tr>
      <w:tr w:rsidR="00434F17" w14:paraId="746842CC" w14:textId="77777777">
        <w:trPr>
          <w:trHeight w:val="330"/>
        </w:trPr>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FCD7C" w14:textId="77777777" w:rsidR="00434F17" w:rsidRDefault="00000000">
            <w:pPr>
              <w:suppressAutoHyphens w:val="0"/>
              <w:jc w:val="both"/>
              <w:textAlignment w:val="auto"/>
              <w:rPr>
                <w:rFonts w:eastAsia="Times New Roman"/>
                <w:b/>
                <w:bCs/>
                <w:color w:val="000000"/>
                <w:lang w:eastAsia="en-GB" w:bidi="ar-SA"/>
              </w:rPr>
            </w:pPr>
            <w:r>
              <w:rPr>
                <w:rFonts w:eastAsia="Times New Roman"/>
                <w:b/>
                <w:bCs/>
                <w:color w:val="000000"/>
                <w:lang w:eastAsia="en-GB" w:bidi="ar-SA"/>
              </w:rPr>
              <w:t>Total Emissions</w:t>
            </w:r>
          </w:p>
        </w:tc>
        <w:tc>
          <w:tcPr>
            <w:tcW w:w="68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DB0C00" w14:textId="05881B12" w:rsidR="00434F17" w:rsidRDefault="004C1D7B">
            <w:pPr>
              <w:suppressAutoHyphens w:val="0"/>
              <w:jc w:val="both"/>
              <w:textAlignment w:val="auto"/>
            </w:pPr>
            <w:r>
              <w:rPr>
                <w:rFonts w:eastAsia="Times New Roman"/>
                <w:b/>
                <w:bCs/>
                <w:color w:val="000000"/>
                <w:lang w:eastAsia="en-GB" w:bidi="ar-SA"/>
              </w:rPr>
              <w:t>37.03</w:t>
            </w:r>
            <w:r w:rsidR="004559E0">
              <w:rPr>
                <w:rFonts w:eastAsia="Times New Roman"/>
                <w:b/>
                <w:bCs/>
                <w:color w:val="000000"/>
                <w:lang w:eastAsia="en-GB" w:bidi="ar-SA"/>
              </w:rPr>
              <w:t xml:space="preserve"> tCO</w:t>
            </w:r>
            <w:r w:rsidR="004559E0">
              <w:rPr>
                <w:rFonts w:eastAsia="Times New Roman"/>
                <w:b/>
                <w:bCs/>
                <w:color w:val="000000"/>
                <w:vertAlign w:val="subscript"/>
                <w:lang w:eastAsia="en-GB" w:bidi="ar-SA"/>
              </w:rPr>
              <w:t>2</w:t>
            </w:r>
            <w:r w:rsidR="004559E0">
              <w:rPr>
                <w:rFonts w:eastAsia="Times New Roman"/>
                <w:b/>
                <w:bCs/>
                <w:color w:val="000000"/>
                <w:lang w:eastAsia="en-GB" w:bidi="ar-SA"/>
              </w:rPr>
              <w:t>e</w:t>
            </w:r>
          </w:p>
        </w:tc>
      </w:tr>
    </w:tbl>
    <w:p w14:paraId="5ED79467" w14:textId="77777777" w:rsidR="00434F17" w:rsidRDefault="00434F17">
      <w:pPr>
        <w:pStyle w:val="Standard"/>
        <w:rPr>
          <w:b/>
          <w:sz w:val="28"/>
          <w:szCs w:val="28"/>
        </w:rPr>
      </w:pPr>
    </w:p>
    <w:p w14:paraId="0F651CD8" w14:textId="77777777" w:rsidR="00434F17" w:rsidRDefault="00000000">
      <w:pPr>
        <w:pStyle w:val="Heading1"/>
        <w:keepNext w:val="0"/>
        <w:keepLines w:val="0"/>
        <w:spacing w:before="0" w:line="266" w:lineRule="auto"/>
        <w:jc w:val="both"/>
      </w:pPr>
      <w:r>
        <w:rPr>
          <w:b/>
          <w:sz w:val="28"/>
          <w:szCs w:val="28"/>
        </w:rPr>
        <w:t>Emissions reduction targets</w:t>
      </w:r>
    </w:p>
    <w:p w14:paraId="351053C0" w14:textId="77777777" w:rsidR="00434F17" w:rsidRDefault="00000000">
      <w:pPr>
        <w:pStyle w:val="BodyText"/>
        <w:spacing w:before="118" w:line="251" w:lineRule="auto"/>
        <w:ind w:right="573"/>
        <w:rPr>
          <w:lang w:val="en-GB" w:eastAsia="zh-CN" w:bidi="hi-IN"/>
        </w:rPr>
      </w:pPr>
      <w:bookmarkStart w:id="4" w:name="_heading=h.tyjcwt"/>
      <w:bookmarkStart w:id="5" w:name="_heading=h.4d34og8"/>
      <w:bookmarkEnd w:id="4"/>
      <w:bookmarkEnd w:id="5"/>
      <w:r>
        <w:rPr>
          <w:lang w:val="en-GB" w:eastAsia="zh-CN" w:bidi="hi-IN"/>
        </w:rPr>
        <w:t>The company intends to continue to offset carbon emissions for each employee by planting a minimum of 50 trees per member of staff. Additionally, these trees are planted where they are globally needed most (as recommended by faculties specialising in this field).</w:t>
      </w:r>
    </w:p>
    <w:p w14:paraId="4E69B8F4" w14:textId="77777777" w:rsidR="00434F17" w:rsidRDefault="00000000">
      <w:pPr>
        <w:pStyle w:val="BodyText"/>
        <w:spacing w:before="118" w:line="251" w:lineRule="auto"/>
        <w:ind w:right="573"/>
      </w:pPr>
      <w:r>
        <w:rPr>
          <w:lang w:val="en-GB"/>
        </w:rPr>
        <w:t>However, Bulien are acutely aware that it is not good enough to simply offset carbon emissions. In order to continue our progress and maintain Net Zero, we adopted the following carbon reduction targets:</w:t>
      </w:r>
    </w:p>
    <w:p w14:paraId="48E93810" w14:textId="77777777" w:rsidR="00434F17" w:rsidRDefault="00000000">
      <w:pPr>
        <w:pStyle w:val="BodyText"/>
        <w:numPr>
          <w:ilvl w:val="0"/>
          <w:numId w:val="6"/>
        </w:numPr>
        <w:spacing w:before="118" w:line="251" w:lineRule="auto"/>
        <w:ind w:right="573"/>
        <w:jc w:val="both"/>
        <w:rPr>
          <w:lang w:val="en-GB"/>
        </w:rPr>
      </w:pPr>
      <w:r>
        <w:rPr>
          <w:lang w:val="en-GB"/>
        </w:rPr>
        <w:t>delivering remote consultancy; and</w:t>
      </w:r>
    </w:p>
    <w:p w14:paraId="3618AC55" w14:textId="77777777" w:rsidR="00434F17" w:rsidRDefault="00000000">
      <w:pPr>
        <w:pStyle w:val="BodyText"/>
        <w:numPr>
          <w:ilvl w:val="0"/>
          <w:numId w:val="6"/>
        </w:numPr>
        <w:spacing w:before="118" w:line="251" w:lineRule="auto"/>
        <w:ind w:right="573"/>
        <w:jc w:val="both"/>
        <w:rPr>
          <w:lang w:val="en-GB"/>
        </w:rPr>
      </w:pPr>
      <w:r>
        <w:rPr>
          <w:lang w:val="en-GB"/>
        </w:rPr>
        <w:t>travelling only when necessary; and</w:t>
      </w:r>
    </w:p>
    <w:p w14:paraId="6B980FA5" w14:textId="77777777" w:rsidR="00434F17" w:rsidRDefault="00000000">
      <w:pPr>
        <w:pStyle w:val="BodyText"/>
        <w:numPr>
          <w:ilvl w:val="0"/>
          <w:numId w:val="6"/>
        </w:numPr>
        <w:spacing w:before="118" w:line="251" w:lineRule="auto"/>
        <w:ind w:right="573"/>
        <w:jc w:val="both"/>
        <w:rPr>
          <w:lang w:val="en-GB"/>
        </w:rPr>
      </w:pPr>
      <w:r>
        <w:rPr>
          <w:lang w:val="en-GB"/>
        </w:rPr>
        <w:t>travel by greener means; and</w:t>
      </w:r>
    </w:p>
    <w:p w14:paraId="439D13D1" w14:textId="77777777" w:rsidR="00434F17" w:rsidRDefault="00000000">
      <w:pPr>
        <w:pStyle w:val="BodyText"/>
        <w:numPr>
          <w:ilvl w:val="0"/>
          <w:numId w:val="6"/>
        </w:numPr>
        <w:spacing w:before="118" w:line="251" w:lineRule="auto"/>
        <w:ind w:right="573"/>
        <w:jc w:val="both"/>
        <w:rPr>
          <w:lang w:val="en-GB"/>
        </w:rPr>
      </w:pPr>
      <w:r>
        <w:rPr>
          <w:lang w:val="en-GB"/>
        </w:rPr>
        <w:t>working from home as standard,</w:t>
      </w:r>
    </w:p>
    <w:p w14:paraId="7C0E21E6" w14:textId="77777777" w:rsidR="00434F17" w:rsidRDefault="00000000">
      <w:pPr>
        <w:pStyle w:val="Heading1"/>
        <w:keepNext w:val="0"/>
        <w:keepLines w:val="0"/>
        <w:spacing w:before="240" w:line="268" w:lineRule="auto"/>
        <w:jc w:val="both"/>
        <w:rPr>
          <w:sz w:val="22"/>
          <w:szCs w:val="22"/>
        </w:rPr>
      </w:pPr>
      <w:r>
        <w:rPr>
          <w:sz w:val="22"/>
          <w:szCs w:val="22"/>
        </w:rPr>
        <w:t>wherever possible/practical.</w:t>
      </w:r>
      <w:bookmarkStart w:id="6" w:name="_heading=h.2s8eyo1"/>
      <w:bookmarkEnd w:id="6"/>
    </w:p>
    <w:p w14:paraId="453760C0" w14:textId="77777777" w:rsidR="00434F17" w:rsidRDefault="00000000">
      <w:pPr>
        <w:pStyle w:val="Heading1"/>
        <w:keepNext w:val="0"/>
        <w:keepLines w:val="0"/>
        <w:spacing w:before="0" w:line="266" w:lineRule="auto"/>
        <w:jc w:val="both"/>
        <w:rPr>
          <w:sz w:val="22"/>
          <w:szCs w:val="22"/>
        </w:rPr>
      </w:pPr>
      <w:r>
        <w:rPr>
          <w:sz w:val="22"/>
          <w:szCs w:val="22"/>
        </w:rPr>
        <w:t xml:space="preserve">As the company grows, it is not possible to reduce total carbon emissions year-on-year.  However, we endeavour to maintain our existing carbon footprint per capita and not only continue our carbon offsetting plan by planting trees but to expand this program. </w:t>
      </w:r>
    </w:p>
    <w:p w14:paraId="3F913A2A" w14:textId="24989EFA" w:rsidR="004559E0" w:rsidRPr="004559E0" w:rsidRDefault="004559E0" w:rsidP="004559E0">
      <w:pPr>
        <w:pStyle w:val="Heading1"/>
        <w:keepNext w:val="0"/>
        <w:keepLines w:val="0"/>
        <w:spacing w:before="0" w:line="266" w:lineRule="auto"/>
        <w:jc w:val="both"/>
        <w:rPr>
          <w:color w:val="000000"/>
          <w:sz w:val="22"/>
          <w:szCs w:val="22"/>
          <w14:textFill>
            <w14:solidFill>
              <w14:srgbClr w14:val="000000">
                <w14:alpha w14:val="10000"/>
              </w14:srgbClr>
            </w14:solidFill>
          </w14:textFill>
        </w:rPr>
      </w:pPr>
      <w:r w:rsidRPr="004559E0">
        <w:rPr>
          <w:color w:val="000000"/>
          <w:sz w:val="22"/>
          <w:szCs w:val="22"/>
          <w14:textFill>
            <w14:solidFill>
              <w14:srgbClr w14:val="000000">
                <w14:alpha w14:val="10000"/>
              </w14:srgbClr>
            </w14:solidFill>
          </w14:textFill>
        </w:rPr>
        <w:t xml:space="preserve">Our target and projection has been for company net carbon emissions to continue to decrease over the next five years to </w:t>
      </w:r>
      <w:r w:rsidRPr="004559E0">
        <w:rPr>
          <w:rFonts w:eastAsia="Times New Roman"/>
          <w:b/>
          <w:bCs/>
          <w:color w:val="000000"/>
          <w:sz w:val="22"/>
          <w:szCs w:val="22"/>
          <w:lang w:eastAsia="en-GB"/>
          <w14:textFill>
            <w14:solidFill>
              <w14:srgbClr w14:val="000000">
                <w14:alpha w14:val="10000"/>
              </w14:srgbClr>
            </w14:solidFill>
          </w14:textFill>
        </w:rPr>
        <w:t>-100</w:t>
      </w:r>
      <w:r w:rsidRPr="004559E0">
        <w:rPr>
          <w:b/>
          <w:bCs/>
          <w:color w:val="000000"/>
          <w:sz w:val="22"/>
          <w:szCs w:val="22"/>
          <w14:textFill>
            <w14:solidFill>
              <w14:srgbClr w14:val="000000">
                <w14:alpha w14:val="10000"/>
              </w14:srgbClr>
            </w14:solidFill>
          </w14:textFill>
        </w:rPr>
        <w:t xml:space="preserve"> tCO</w:t>
      </w:r>
      <w:r w:rsidRPr="004559E0">
        <w:rPr>
          <w:b/>
          <w:bCs/>
          <w:color w:val="000000"/>
          <w:sz w:val="22"/>
          <w:szCs w:val="22"/>
          <w:vertAlign w:val="subscript"/>
          <w14:textFill>
            <w14:solidFill>
              <w14:srgbClr w14:val="000000">
                <w14:alpha w14:val="10000"/>
              </w14:srgbClr>
            </w14:solidFill>
          </w14:textFill>
        </w:rPr>
        <w:t>2</w:t>
      </w:r>
      <w:r w:rsidRPr="004559E0">
        <w:rPr>
          <w:b/>
          <w:bCs/>
          <w:color w:val="000000"/>
          <w:sz w:val="22"/>
          <w:szCs w:val="22"/>
          <w14:textFill>
            <w14:solidFill>
              <w14:srgbClr w14:val="000000">
                <w14:alpha w14:val="10000"/>
              </w14:srgbClr>
            </w14:solidFill>
          </w14:textFill>
        </w:rPr>
        <w:t>e</w:t>
      </w:r>
      <w:r w:rsidRPr="004559E0">
        <w:rPr>
          <w:color w:val="000000"/>
          <w:sz w:val="22"/>
          <w:szCs w:val="22"/>
          <w14:textFill>
            <w14:solidFill>
              <w14:srgbClr w14:val="000000">
                <w14:alpha w14:val="10000"/>
              </w14:srgbClr>
            </w14:solidFill>
          </w14:textFill>
        </w:rPr>
        <w:t xml:space="preserve"> by </w:t>
      </w:r>
      <w:r w:rsidRPr="004559E0">
        <w:rPr>
          <w:rFonts w:eastAsia="Times New Roman"/>
          <w:b/>
          <w:bCs/>
          <w:color w:val="000000"/>
          <w:sz w:val="22"/>
          <w:szCs w:val="22"/>
          <w:lang w:eastAsia="en-GB"/>
          <w14:textFill>
            <w14:solidFill>
              <w14:srgbClr w14:val="000000">
                <w14:alpha w14:val="10000"/>
              </w14:srgbClr>
            </w14:solidFill>
          </w14:textFill>
        </w:rPr>
        <w:t>2027</w:t>
      </w:r>
      <w:r w:rsidRPr="004559E0">
        <w:rPr>
          <w:color w:val="000000"/>
          <w:sz w:val="22"/>
          <w:szCs w:val="22"/>
          <w14:textFill>
            <w14:solidFill>
              <w14:srgbClr w14:val="000000">
                <w14:alpha w14:val="10000"/>
              </w14:srgbClr>
            </w14:solidFill>
          </w14:textFill>
        </w:rPr>
        <w:t>, a reduction of over</w:t>
      </w:r>
      <w:r w:rsidRPr="004559E0">
        <w:rPr>
          <w:color w:val="000000"/>
          <w14:textFill>
            <w14:solidFill>
              <w14:srgbClr w14:val="000000">
                <w14:alpha w14:val="10000"/>
              </w14:srgbClr>
            </w14:solidFill>
          </w14:textFill>
        </w:rPr>
        <w:t xml:space="preserve"> </w:t>
      </w:r>
      <w:r w:rsidRPr="004559E0">
        <w:rPr>
          <w:rFonts w:eastAsia="Times New Roman"/>
          <w:b/>
          <w:bCs/>
          <w:color w:val="000000"/>
          <w:sz w:val="22"/>
          <w:szCs w:val="22"/>
          <w:lang w:eastAsia="en-GB"/>
          <w14:textFill>
            <w14:solidFill>
              <w14:srgbClr w14:val="000000">
                <w14:alpha w14:val="10000"/>
              </w14:srgbClr>
            </w14:solidFill>
          </w14:textFill>
        </w:rPr>
        <w:t>400</w:t>
      </w:r>
      <w:r w:rsidRPr="004559E0">
        <w:rPr>
          <w:color w:val="000000"/>
          <w:sz w:val="22"/>
          <w:szCs w:val="22"/>
          <w14:textFill>
            <w14:solidFill>
              <w14:srgbClr w14:val="000000">
                <w14:alpha w14:val="10000"/>
              </w14:srgbClr>
            </w14:solidFill>
          </w14:textFill>
        </w:rPr>
        <w:t>% from 2022</w:t>
      </w:r>
      <w:bookmarkStart w:id="7" w:name="_heading=h.3rdcrjn"/>
      <w:bookmarkStart w:id="8" w:name="_heading=h.26in1rg"/>
      <w:bookmarkStart w:id="9" w:name="_heading=h.lnxbz9"/>
      <w:bookmarkStart w:id="10" w:name="_heading=h.35nkun2"/>
      <w:bookmarkEnd w:id="7"/>
      <w:bookmarkEnd w:id="8"/>
      <w:bookmarkEnd w:id="9"/>
      <w:bookmarkEnd w:id="10"/>
      <w:r w:rsidRPr="004559E0">
        <w:rPr>
          <w:color w:val="000000"/>
          <w:sz w:val="22"/>
          <w:szCs w:val="22"/>
          <w14:textFill>
            <w14:solidFill>
              <w14:srgbClr w14:val="000000">
                <w14:alpha w14:val="10000"/>
              </w14:srgbClr>
            </w14:solidFill>
          </w14:textFill>
        </w:rPr>
        <w:t>. We remain on target for this ambition.</w:t>
      </w:r>
    </w:p>
    <w:p w14:paraId="78878AAD" w14:textId="41714436" w:rsidR="00434F17" w:rsidRDefault="00434F17">
      <w:pPr>
        <w:pStyle w:val="Heading1"/>
        <w:keepNext w:val="0"/>
        <w:keepLines w:val="0"/>
        <w:spacing w:before="0" w:line="266" w:lineRule="auto"/>
        <w:jc w:val="both"/>
      </w:pPr>
    </w:p>
    <w:p w14:paraId="32290B0F" w14:textId="7A7D5AC8" w:rsidR="00434F17" w:rsidRDefault="004559E0">
      <w:pPr>
        <w:pStyle w:val="Heading1"/>
        <w:keepNext w:val="0"/>
        <w:keepLines w:val="0"/>
        <w:spacing w:before="0" w:after="240" w:line="268" w:lineRule="auto"/>
        <w:jc w:val="both"/>
        <w:rPr>
          <w:color w:val="000000"/>
          <w:sz w:val="22"/>
          <w:szCs w:val="22"/>
          <w14:textFill>
            <w14:solidFill>
              <w14:srgbClr w14:val="000000">
                <w14:alpha w14:val="10000"/>
              </w14:srgbClr>
            </w14:solidFill>
          </w14:textFill>
        </w:rPr>
      </w:pPr>
      <w:bookmarkStart w:id="11" w:name="_heading=h.17dp8vu"/>
      <w:bookmarkStart w:id="12" w:name="_heading=h.1ksv4uv"/>
      <w:bookmarkStart w:id="13" w:name="_heading=h.44sinio"/>
      <w:bookmarkStart w:id="14" w:name="_heading=h.2jxsxqh"/>
      <w:bookmarkStart w:id="15" w:name="_heading=h.4i7ojhp"/>
      <w:bookmarkStart w:id="16" w:name="_heading=h.2xcytpi"/>
      <w:bookmarkStart w:id="17" w:name="_heading=h.1ci93xb"/>
      <w:bookmarkStart w:id="18" w:name="_heading=h.3whwml4"/>
      <w:bookmarkEnd w:id="11"/>
      <w:bookmarkEnd w:id="12"/>
      <w:bookmarkEnd w:id="13"/>
      <w:bookmarkEnd w:id="14"/>
      <w:bookmarkEnd w:id="15"/>
      <w:bookmarkEnd w:id="16"/>
      <w:bookmarkEnd w:id="17"/>
      <w:bookmarkEnd w:id="18"/>
      <w:r w:rsidRPr="004559E0">
        <w:rPr>
          <w:color w:val="000000"/>
          <w:sz w:val="22"/>
          <w:szCs w:val="22"/>
          <w14:textFill>
            <w14:solidFill>
              <w14:srgbClr w14:val="000000">
                <w14:alpha w14:val="10000"/>
              </w14:srgbClr>
            </w14:solidFill>
          </w14:textFill>
        </w:rPr>
        <w:t>Progress against these targets can be seen in the graph below, illustrating net carbon emissions:</w:t>
      </w:r>
    </w:p>
    <w:p w14:paraId="515CB91E" w14:textId="1BC55486" w:rsidR="004559E0" w:rsidRPr="004559E0" w:rsidRDefault="004C1D7B" w:rsidP="004559E0">
      <w:pPr>
        <w:pStyle w:val="Standard"/>
      </w:pPr>
      <w:r>
        <w:rPr>
          <w:noProof/>
        </w:rPr>
        <w:lastRenderedPageBreak/>
        <w:drawing>
          <wp:inline distT="0" distB="0" distL="0" distR="0" wp14:anchorId="7C484A34" wp14:editId="2C8A8D40">
            <wp:extent cx="5731510" cy="3306445"/>
            <wp:effectExtent l="0" t="0" r="0" b="0"/>
            <wp:docPr id="1057799236" name="Chart 1">
              <a:extLst xmlns:a="http://schemas.openxmlformats.org/drawingml/2006/main">
                <a:ext uri="{FF2B5EF4-FFF2-40B4-BE49-F238E27FC236}">
                  <a16:creationId xmlns:a16="http://schemas.microsoft.com/office/drawing/2014/main" id="{CD4CA13F-429A-C9BF-F3F8-442B63B2B0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46A4B2" w14:textId="77777777" w:rsidR="00434F17" w:rsidRDefault="00000000">
      <w:pPr>
        <w:pStyle w:val="Heading1"/>
        <w:spacing w:before="360" w:line="242" w:lineRule="auto"/>
      </w:pPr>
      <w:bookmarkStart w:id="19" w:name="_heading=h.2bn6wsx"/>
      <w:bookmarkStart w:id="20" w:name="_heading=h.qsh70q"/>
      <w:bookmarkEnd w:id="19"/>
      <w:bookmarkEnd w:id="20"/>
      <w:r>
        <w:rPr>
          <w:b/>
          <w:sz w:val="28"/>
          <w:szCs w:val="28"/>
        </w:rPr>
        <w:t>Carbon Reduction Projects</w:t>
      </w:r>
    </w:p>
    <w:p w14:paraId="5E29049F" w14:textId="77777777" w:rsidR="00434F17" w:rsidRDefault="00000000">
      <w:pPr>
        <w:pStyle w:val="Heading3"/>
        <w:spacing w:line="242" w:lineRule="auto"/>
      </w:pPr>
      <w:bookmarkStart w:id="21" w:name="_heading=h.3as4poj"/>
      <w:bookmarkEnd w:id="21"/>
      <w:r>
        <w:t>Completed Carbon Reduction Initiatives</w:t>
      </w:r>
    </w:p>
    <w:p w14:paraId="66A33E4C" w14:textId="77777777" w:rsidR="00434F17" w:rsidRDefault="00000000">
      <w:pPr>
        <w:pStyle w:val="Standard"/>
        <w:spacing w:after="140" w:line="266" w:lineRule="auto"/>
      </w:pPr>
      <w:r>
        <w:t>The following environmental management measures and projects have been completed or implemented since the 2020 baseline. The carbon emission reduction achieved by these schemes equate to over 50 tCO</w:t>
      </w:r>
      <w:r w:rsidRPr="00995AB8">
        <w:rPr>
          <w:vertAlign w:val="subscript"/>
        </w:rPr>
        <w:t>2</w:t>
      </w:r>
      <w:r>
        <w:t xml:space="preserve">e, a significant reduction against the baseline, which has resulted in the net carbon emissions trend shown in the graph above. </w:t>
      </w:r>
    </w:p>
    <w:p w14:paraId="1F99D116" w14:textId="77777777" w:rsidR="00434F17" w:rsidRDefault="00000000">
      <w:pPr>
        <w:pStyle w:val="BodyText"/>
        <w:spacing w:before="143"/>
      </w:pPr>
      <w:r>
        <w:t xml:space="preserve">As a business we decided not to renew our business office in 2021, opting for a virtual office instead, and with all employees and partners working from home as standard. </w:t>
      </w:r>
    </w:p>
    <w:p w14:paraId="1BFBEF25" w14:textId="1F43F1CA" w:rsidR="003D7B71" w:rsidRPr="003D7B71" w:rsidRDefault="003D7B71" w:rsidP="003D7B71">
      <w:pPr>
        <w:pStyle w:val="BodyText"/>
        <w:spacing w:before="143"/>
        <w:rPr>
          <w:color w:val="000000"/>
          <w14:textFill>
            <w14:solidFill>
              <w14:srgbClr w14:val="000000">
                <w14:alpha w14:val="10000"/>
              </w14:srgbClr>
            </w14:solidFill>
          </w14:textFill>
        </w:rPr>
      </w:pPr>
      <w:r w:rsidRPr="003D7B71">
        <w:rPr>
          <w:color w:val="000000"/>
          <w14:textFill>
            <w14:solidFill>
              <w14:srgbClr w14:val="000000">
                <w14:alpha w14:val="10000"/>
              </w14:srgbClr>
            </w14:solidFill>
          </w14:textFill>
        </w:rPr>
        <w:t>In 2020, we planted 5 trees to offset some of our emissions.  In 2021, Bulien became carbon negative by drastically increasing our efforts (largely due to becoming more vigilant in travel and by increasing carbon offsetting. In 2021, the company established a program to regularly plant trees to offset carbon emissions and planted over 300, representing over 15 tCO</w:t>
      </w:r>
      <w:r w:rsidRPr="003D7B71">
        <w:rPr>
          <w:color w:val="000000"/>
          <w:vertAlign w:val="subscript"/>
          <w14:textFill>
            <w14:solidFill>
              <w14:srgbClr w14:val="000000">
                <w14:alpha w14:val="10000"/>
              </w14:srgbClr>
            </w14:solidFill>
          </w14:textFill>
        </w:rPr>
        <w:t>2</w:t>
      </w:r>
      <w:r w:rsidRPr="003D7B71">
        <w:rPr>
          <w:color w:val="000000"/>
          <w14:textFill>
            <w14:solidFill>
              <w14:srgbClr w14:val="000000">
                <w14:alpha w14:val="10000"/>
              </w14:srgbClr>
            </w14:solidFill>
          </w14:textFill>
        </w:rPr>
        <w:t xml:space="preserve">e of carbon emissions absorbed.  </w:t>
      </w:r>
      <w:r w:rsidR="002225C1">
        <w:rPr>
          <w:color w:val="000000"/>
          <w14:textFill>
            <w14:solidFill>
              <w14:srgbClr w14:val="000000">
                <w14:alpha w14:val="10000"/>
              </w14:srgbClr>
            </w14:solidFill>
          </w14:textFill>
        </w:rPr>
        <w:t>T</w:t>
      </w:r>
      <w:r w:rsidRPr="003D7B71">
        <w:rPr>
          <w:color w:val="000000"/>
          <w14:textFill>
            <w14:solidFill>
              <w14:srgbClr w14:val="000000">
                <w14:alpha w14:val="10000"/>
              </w14:srgbClr>
            </w14:solidFill>
          </w14:textFill>
        </w:rPr>
        <w:t xml:space="preserve">ree planting </w:t>
      </w:r>
      <w:r w:rsidR="002225C1">
        <w:rPr>
          <w:color w:val="000000"/>
          <w14:textFill>
            <w14:solidFill>
              <w14:srgbClr w14:val="000000">
                <w14:alpha w14:val="10000"/>
              </w14:srgbClr>
            </w14:solidFill>
          </w14:textFill>
        </w:rPr>
        <w:t xml:space="preserve">has continued to increase with the number of trees planted by Bulien in 2024 reaching almost 2,000, an offset of carbon emissions of 97.6 </w:t>
      </w:r>
      <w:r w:rsidRPr="003D7B71">
        <w:rPr>
          <w:color w:val="000000"/>
          <w14:textFill>
            <w14:solidFill>
              <w14:srgbClr w14:val="000000">
                <w14:alpha w14:val="10000"/>
              </w14:srgbClr>
            </w14:solidFill>
          </w14:textFill>
        </w:rPr>
        <w:t>tCO</w:t>
      </w:r>
      <w:r w:rsidRPr="003D7B71">
        <w:rPr>
          <w:color w:val="000000"/>
          <w:vertAlign w:val="subscript"/>
          <w14:textFill>
            <w14:solidFill>
              <w14:srgbClr w14:val="000000">
                <w14:alpha w14:val="10000"/>
              </w14:srgbClr>
            </w14:solidFill>
          </w14:textFill>
        </w:rPr>
        <w:t>2</w:t>
      </w:r>
      <w:r w:rsidRPr="003D7B71">
        <w:rPr>
          <w:color w:val="000000"/>
          <w14:textFill>
            <w14:solidFill>
              <w14:srgbClr w14:val="000000">
                <w14:alpha w14:val="10000"/>
              </w14:srgbClr>
            </w14:solidFill>
          </w14:textFill>
        </w:rPr>
        <w:t>e.</w:t>
      </w:r>
    </w:p>
    <w:p w14:paraId="22B73145" w14:textId="77777777" w:rsidR="00434F17" w:rsidRDefault="00434F17">
      <w:pPr>
        <w:pStyle w:val="Standard"/>
        <w:spacing w:line="242" w:lineRule="auto"/>
        <w:rPr>
          <w:i/>
          <w:shd w:val="clear" w:color="auto" w:fill="FFFF00"/>
        </w:rPr>
      </w:pPr>
    </w:p>
    <w:p w14:paraId="68E9E9D3" w14:textId="77777777" w:rsidR="00434F17" w:rsidRDefault="00000000">
      <w:pPr>
        <w:pStyle w:val="Standard"/>
        <w:spacing w:line="242" w:lineRule="auto"/>
      </w:pPr>
      <w:r>
        <w:t>In the future we hope to implement further measures such as:</w:t>
      </w:r>
    </w:p>
    <w:p w14:paraId="70BC219C" w14:textId="77777777" w:rsidR="00434F17" w:rsidRDefault="00000000">
      <w:pPr>
        <w:pStyle w:val="Standard"/>
        <w:numPr>
          <w:ilvl w:val="0"/>
          <w:numId w:val="7"/>
        </w:numPr>
        <w:spacing w:line="268" w:lineRule="auto"/>
        <w:ind w:left="714" w:hanging="357"/>
      </w:pPr>
      <w:bookmarkStart w:id="22" w:name="_heading=h.1pxezwc"/>
      <w:bookmarkEnd w:id="22"/>
      <w:r>
        <w:t>Increasing nature-based solutions such as tree planting</w:t>
      </w:r>
    </w:p>
    <w:p w14:paraId="7C625554" w14:textId="77777777" w:rsidR="00434F17" w:rsidRDefault="00000000">
      <w:pPr>
        <w:pStyle w:val="Standard"/>
        <w:numPr>
          <w:ilvl w:val="0"/>
          <w:numId w:val="7"/>
        </w:numPr>
        <w:spacing w:line="268" w:lineRule="auto"/>
        <w:ind w:left="714" w:hanging="357"/>
      </w:pPr>
      <w:r>
        <w:t>Donation of expert data consultancy to entities dedicated to reducing global carbon emissions.</w:t>
      </w:r>
    </w:p>
    <w:p w14:paraId="63707ADD" w14:textId="77777777" w:rsidR="00434F17" w:rsidRDefault="00000000">
      <w:pPr>
        <w:pStyle w:val="Heading1"/>
        <w:spacing w:before="360" w:line="242" w:lineRule="auto"/>
      </w:pPr>
      <w:bookmarkStart w:id="23" w:name="_heading=h.49x2ik5"/>
      <w:bookmarkEnd w:id="23"/>
      <w:r>
        <w:rPr>
          <w:b/>
          <w:sz w:val="28"/>
          <w:szCs w:val="28"/>
        </w:rPr>
        <w:t>Declaration and Sign Off</w:t>
      </w:r>
    </w:p>
    <w:p w14:paraId="6D265A28" w14:textId="77777777" w:rsidR="00434F17" w:rsidRDefault="00000000">
      <w:pPr>
        <w:pStyle w:val="Standard"/>
        <w:spacing w:after="300" w:line="242" w:lineRule="auto"/>
      </w:pPr>
      <w:r>
        <w:t>This Carbon Reduction Plan has been completed in accordance with PPN 06/21 and associated guidance and reporting standard for Carbon Reduction Plans.</w:t>
      </w:r>
    </w:p>
    <w:p w14:paraId="735DA39E" w14:textId="77777777" w:rsidR="00434F17" w:rsidRDefault="00000000">
      <w:pPr>
        <w:pStyle w:val="Standard"/>
        <w:spacing w:after="300" w:line="242" w:lineRule="auto"/>
      </w:pPr>
      <w:r>
        <w:lastRenderedPageBreak/>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sidR="00434F17">
          <w:rPr>
            <w:color w:val="000000"/>
          </w:rPr>
          <w:t>Government emission conversion factors for greenhouse gas company reporting</w:t>
        </w:r>
      </w:hyperlink>
      <w:r>
        <w:rPr>
          <w:rStyle w:val="FootnoteReference"/>
          <w:color w:val="000000"/>
        </w:rPr>
        <w:footnoteReference w:id="5"/>
      </w:r>
      <w:r>
        <w:rPr>
          <w:color w:val="000000"/>
        </w:rPr>
        <w:t>.</w:t>
      </w:r>
    </w:p>
    <w:p w14:paraId="6A5AE499" w14:textId="77777777" w:rsidR="00434F17" w:rsidRDefault="00000000">
      <w:pPr>
        <w:pStyle w:val="Standard"/>
        <w:spacing w:after="300" w:line="242"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3C00B9B1" w14:textId="77777777" w:rsidR="00434F17" w:rsidRDefault="00000000">
      <w:pPr>
        <w:pStyle w:val="Standard"/>
        <w:spacing w:after="300" w:line="242" w:lineRule="auto"/>
      </w:pPr>
      <w:r>
        <w:rPr>
          <w:color w:val="0B0C0C"/>
        </w:rPr>
        <w:t xml:space="preserve">This Carbon Reduction Plan has been reviewed and signed off </w:t>
      </w:r>
      <w:r>
        <w:t>by the board of directors (or equivalent management body).</w:t>
      </w:r>
    </w:p>
    <w:p w14:paraId="02E09BAA" w14:textId="77777777" w:rsidR="00434F17" w:rsidRDefault="00000000">
      <w:pPr>
        <w:pStyle w:val="Heading4"/>
        <w:spacing w:after="300" w:line="242" w:lineRule="auto"/>
      </w:pPr>
      <w:bookmarkStart w:id="24" w:name="_heading=h.2p2csry"/>
      <w:bookmarkEnd w:id="24"/>
      <w:r>
        <w:t>Signed on behalf of the Supplier:</w:t>
      </w:r>
    </w:p>
    <w:p w14:paraId="7DC06C7F" w14:textId="77777777" w:rsidR="00434F17" w:rsidRDefault="00434F17">
      <w:pPr>
        <w:pStyle w:val="BodyText"/>
        <w:rPr>
          <w:b/>
          <w:sz w:val="26"/>
          <w:lang w:val="en-GB"/>
        </w:rPr>
      </w:pPr>
    </w:p>
    <w:p w14:paraId="5A0F36A1" w14:textId="77777777" w:rsidR="00434F17" w:rsidRDefault="00000000">
      <w:pPr>
        <w:pStyle w:val="BodyText"/>
      </w:pPr>
      <w:r>
        <w:rPr>
          <w:noProof/>
          <w:lang w:val="en-GB"/>
        </w:rPr>
        <w:drawing>
          <wp:anchor distT="0" distB="0" distL="114300" distR="114300" simplePos="0" relativeHeight="251659264" behindDoc="0" locked="0" layoutInCell="1" allowOverlap="1" wp14:anchorId="75C8A9E2" wp14:editId="2E2A49D3">
            <wp:simplePos x="0" y="0"/>
            <wp:positionH relativeFrom="column">
              <wp:posOffset>347416</wp:posOffset>
            </wp:positionH>
            <wp:positionV relativeFrom="paragraph">
              <wp:posOffset>26042</wp:posOffset>
            </wp:positionV>
            <wp:extent cx="2066928" cy="556348"/>
            <wp:effectExtent l="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rot="156211">
                      <a:off x="0" y="0"/>
                      <a:ext cx="2066928" cy="556348"/>
                    </a:xfrm>
                    <a:prstGeom prst="rect">
                      <a:avLst/>
                    </a:prstGeom>
                    <a:noFill/>
                    <a:ln>
                      <a:noFill/>
                      <a:prstDash/>
                    </a:ln>
                  </pic:spPr>
                </pic:pic>
              </a:graphicData>
            </a:graphic>
          </wp:anchor>
        </w:drawing>
      </w:r>
    </w:p>
    <w:p w14:paraId="14AF9E06" w14:textId="77777777" w:rsidR="00434F17" w:rsidRDefault="00434F17">
      <w:pPr>
        <w:pStyle w:val="BodyText"/>
        <w:spacing w:before="8"/>
        <w:rPr>
          <w:b/>
          <w:sz w:val="23"/>
          <w:lang w:val="en-GB"/>
        </w:rPr>
      </w:pPr>
    </w:p>
    <w:p w14:paraId="227E4D95" w14:textId="77777777" w:rsidR="00995AB8" w:rsidRDefault="00995AB8">
      <w:pPr>
        <w:pStyle w:val="BodyText"/>
        <w:spacing w:line="530" w:lineRule="auto"/>
        <w:ind w:left="105" w:right="3072"/>
        <w:rPr>
          <w:color w:val="0B0C0C"/>
          <w:lang w:val="en-GB"/>
        </w:rPr>
      </w:pPr>
    </w:p>
    <w:p w14:paraId="304E165C" w14:textId="18960E11" w:rsidR="00434F17" w:rsidRDefault="00000000">
      <w:pPr>
        <w:pStyle w:val="BodyText"/>
        <w:spacing w:line="530" w:lineRule="auto"/>
        <w:ind w:left="105" w:right="3072"/>
      </w:pPr>
      <w:r>
        <w:rPr>
          <w:color w:val="0B0C0C"/>
          <w:lang w:val="en-GB"/>
        </w:rPr>
        <w:t xml:space="preserve">Date: </w:t>
      </w:r>
      <w:r w:rsidR="002225C1">
        <w:rPr>
          <w:color w:val="0B0C0C"/>
          <w:lang w:val="en-GB"/>
        </w:rPr>
        <w:t>12</w:t>
      </w:r>
      <w:r>
        <w:rPr>
          <w:color w:val="0B0C0C"/>
          <w:lang w:val="en-GB"/>
        </w:rPr>
        <w:t xml:space="preserve"> </w:t>
      </w:r>
      <w:r w:rsidR="002225C1">
        <w:rPr>
          <w:color w:val="0B0C0C"/>
          <w:lang w:val="en-GB"/>
        </w:rPr>
        <w:t>January</w:t>
      </w:r>
      <w:r>
        <w:rPr>
          <w:color w:val="0B0C0C"/>
          <w:lang w:val="en-GB"/>
        </w:rPr>
        <w:t xml:space="preserve"> 202</w:t>
      </w:r>
      <w:r w:rsidR="002225C1">
        <w:rPr>
          <w:color w:val="0B0C0C"/>
          <w:lang w:val="en-GB"/>
        </w:rPr>
        <w:t>5</w:t>
      </w:r>
    </w:p>
    <w:p w14:paraId="3EBC9A85" w14:textId="77777777" w:rsidR="00434F17" w:rsidRDefault="00434F17">
      <w:pPr>
        <w:pStyle w:val="BodyText"/>
        <w:rPr>
          <w:sz w:val="20"/>
          <w:lang w:val="en-GB"/>
        </w:rPr>
      </w:pPr>
    </w:p>
    <w:p w14:paraId="6480A4A6" w14:textId="77777777" w:rsidR="00434F17" w:rsidRDefault="00434F17">
      <w:pPr>
        <w:pStyle w:val="Standard"/>
      </w:pPr>
    </w:p>
    <w:sectPr w:rsidR="00434F17">
      <w:head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FD8F" w14:textId="77777777" w:rsidR="000B57EE" w:rsidRDefault="000B57EE">
      <w:r>
        <w:separator/>
      </w:r>
    </w:p>
  </w:endnote>
  <w:endnote w:type="continuationSeparator" w:id="0">
    <w:p w14:paraId="674909B2" w14:textId="77777777" w:rsidR="000B57EE" w:rsidRDefault="000B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41AF" w14:textId="77777777" w:rsidR="000B57EE" w:rsidRDefault="000B57EE">
      <w:r>
        <w:rPr>
          <w:color w:val="000000"/>
        </w:rPr>
        <w:separator/>
      </w:r>
    </w:p>
  </w:footnote>
  <w:footnote w:type="continuationSeparator" w:id="0">
    <w:p w14:paraId="007A217C" w14:textId="77777777" w:rsidR="000B57EE" w:rsidRDefault="000B57EE">
      <w:r>
        <w:continuationSeparator/>
      </w:r>
    </w:p>
  </w:footnote>
  <w:footnote w:id="1">
    <w:p w14:paraId="7462731A" w14:textId="77777777" w:rsidR="00434F17" w:rsidRDefault="00000000">
      <w:pPr>
        <w:pStyle w:val="Standard"/>
      </w:pPr>
      <w:r>
        <w:rPr>
          <w:rStyle w:val="FootnoteReference"/>
        </w:rPr>
        <w:footnoteRef/>
      </w:r>
      <w:r>
        <w:rPr>
          <w:sz w:val="16"/>
          <w:szCs w:val="16"/>
        </w:rPr>
        <w:t>Bidding supplier or ‘bidding entity’ means the organisation with whom the contracting authority will enter into a contract if it is successful.</w:t>
      </w:r>
    </w:p>
  </w:footnote>
  <w:footnote w:id="2">
    <w:p w14:paraId="7FE6AE11" w14:textId="77777777" w:rsidR="00434F17" w:rsidRDefault="00000000">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4FB0CBAB" w14:textId="77777777" w:rsidR="00434F17" w:rsidRDefault="00000000">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4C8244F3" w14:textId="77777777" w:rsidR="00434F17" w:rsidRDefault="00000000">
      <w:pPr>
        <w:pStyle w:val="Standard"/>
        <w:spacing w:line="240" w:lineRule="auto"/>
      </w:pPr>
      <w:r>
        <w:rPr>
          <w:rStyle w:val="FootnoteReference"/>
        </w:rPr>
        <w:footnoteRef/>
      </w:r>
      <w:hyperlink r:id="rId1" w:history="1">
        <w:r w:rsidR="00434F17">
          <w:rPr>
            <w:color w:val="0000FF"/>
            <w:sz w:val="20"/>
            <w:szCs w:val="20"/>
            <w:u w:val="single"/>
          </w:rPr>
          <w:t>https://ghgprotocol.org/corporate-standard</w:t>
        </w:r>
      </w:hyperlink>
    </w:p>
  </w:footnote>
  <w:footnote w:id="5">
    <w:p w14:paraId="3C9BF259" w14:textId="77777777" w:rsidR="00434F17" w:rsidRDefault="00000000">
      <w:pPr>
        <w:pStyle w:val="Standard"/>
        <w:spacing w:line="240" w:lineRule="auto"/>
      </w:pPr>
      <w:r>
        <w:rPr>
          <w:rStyle w:val="FootnoteReference"/>
        </w:rPr>
        <w:footnoteRef/>
      </w:r>
      <w:hyperlink r:id="rId2" w:history="1">
        <w:r w:rsidR="00434F17">
          <w:rPr>
            <w:color w:val="0000FF"/>
            <w:sz w:val="20"/>
            <w:szCs w:val="20"/>
            <w:u w:val="single"/>
          </w:rPr>
          <w:t>https://www.gov.uk/government/collections/government-conversion-factors-for-company-reporting</w:t>
        </w:r>
      </w:hyperlink>
    </w:p>
  </w:footnote>
  <w:footnote w:id="6">
    <w:p w14:paraId="45AD1287" w14:textId="77777777" w:rsidR="00434F17" w:rsidRDefault="00000000">
      <w:pPr>
        <w:pStyle w:val="Standard"/>
        <w:spacing w:line="240" w:lineRule="auto"/>
      </w:pPr>
      <w:r>
        <w:rPr>
          <w:rStyle w:val="FootnoteReference"/>
        </w:rPr>
        <w:footnoteRef/>
      </w:r>
      <w:hyperlink r:id="rId3" w:history="1">
        <w:r w:rsidR="00434F17">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CD5E" w14:textId="77777777" w:rsidR="00C91FAA" w:rsidRDefault="00C91FAA">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452"/>
    <w:multiLevelType w:val="multilevel"/>
    <w:tmpl w:val="AEC8B4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1147264"/>
    <w:multiLevelType w:val="multilevel"/>
    <w:tmpl w:val="80A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C3068D"/>
    <w:multiLevelType w:val="multilevel"/>
    <w:tmpl w:val="E7D805C4"/>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3" w15:restartNumberingAfterBreak="0">
    <w:nsid w:val="4A525F54"/>
    <w:multiLevelType w:val="multilevel"/>
    <w:tmpl w:val="E140C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2504EB"/>
    <w:multiLevelType w:val="multilevel"/>
    <w:tmpl w:val="B4D03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6B02272"/>
    <w:multiLevelType w:val="multilevel"/>
    <w:tmpl w:val="73225AA6"/>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1401900656">
    <w:abstractNumId w:val="0"/>
  </w:num>
  <w:num w:numId="2" w16cid:durableId="341123817">
    <w:abstractNumId w:val="5"/>
  </w:num>
  <w:num w:numId="3" w16cid:durableId="92895575">
    <w:abstractNumId w:val="5"/>
  </w:num>
  <w:num w:numId="4" w16cid:durableId="1383938787">
    <w:abstractNumId w:val="4"/>
  </w:num>
  <w:num w:numId="5" w16cid:durableId="506595659">
    <w:abstractNumId w:val="3"/>
  </w:num>
  <w:num w:numId="6" w16cid:durableId="1106313669">
    <w:abstractNumId w:val="2"/>
  </w:num>
  <w:num w:numId="7" w16cid:durableId="65149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17"/>
    <w:rsid w:val="000B57EE"/>
    <w:rsid w:val="00113628"/>
    <w:rsid w:val="001B4437"/>
    <w:rsid w:val="002225C1"/>
    <w:rsid w:val="003366A8"/>
    <w:rsid w:val="00375E25"/>
    <w:rsid w:val="003A19B8"/>
    <w:rsid w:val="003D7B71"/>
    <w:rsid w:val="00434F17"/>
    <w:rsid w:val="004559E0"/>
    <w:rsid w:val="004C1D7B"/>
    <w:rsid w:val="00541B14"/>
    <w:rsid w:val="00684A93"/>
    <w:rsid w:val="00713757"/>
    <w:rsid w:val="00731677"/>
    <w:rsid w:val="00812126"/>
    <w:rsid w:val="00995AB8"/>
    <w:rsid w:val="00A34C07"/>
    <w:rsid w:val="00A7533D"/>
    <w:rsid w:val="00AD63C9"/>
    <w:rsid w:val="00B07F20"/>
    <w:rsid w:val="00C91FAA"/>
    <w:rsid w:val="00DD3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00DC"/>
  <w15:docId w15:val="{3CF93290-8D15-4770-AF75-4E120A53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6"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paragraph" w:styleId="BodyText">
    <w:name w:val="Body Text"/>
    <w:basedOn w:val="Normal"/>
    <w:pPr>
      <w:widowControl w:val="0"/>
      <w:suppressAutoHyphens w:val="0"/>
      <w:autoSpaceDE w:val="0"/>
      <w:textAlignment w:val="auto"/>
    </w:pPr>
    <w:rPr>
      <w:lang w:val="en-US" w:eastAsia="en-US" w:bidi="ar-SA"/>
    </w:rPr>
  </w:style>
  <w:style w:type="character" w:customStyle="1" w:styleId="BodyTextChar">
    <w:name w:val="Body Text Char"/>
    <w:basedOn w:val="DefaultParagraphFont"/>
    <w:rPr>
      <w:lang w:val="en-US" w:eastAsia="en-US" w:bidi="ar-SA"/>
    </w:rPr>
  </w:style>
  <w:style w:type="paragraph" w:customStyle="1" w:styleId="TableParagraph">
    <w:name w:val="Table Paragraph"/>
    <w:basedOn w:val="Normal"/>
    <w:pPr>
      <w:widowControl w:val="0"/>
      <w:suppressAutoHyphens w:val="0"/>
      <w:autoSpaceDE w:val="0"/>
      <w:spacing w:before="100"/>
      <w:ind w:left="100"/>
      <w:textAlignment w:val="auto"/>
    </w:pPr>
    <w:rPr>
      <w:lang w:val="en-US" w:eastAsia="en-US" w:bidi="ar-SA"/>
    </w:rPr>
  </w:style>
  <w:style w:type="paragraph" w:styleId="ListParagraph">
    <w:name w:val="List Paragraph"/>
    <w:basedOn w:val="Normal"/>
    <w:pPr>
      <w:ind w:left="720"/>
      <w:contextualSpacing/>
    </w:pPr>
    <w:rPr>
      <w:rFonts w:cs="Mangal"/>
      <w:szCs w:val="2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vid\Dropbox\Bulien\6.%20CORPORATE\CARBON%20REDUCTION%20PLAN\Carbon%20Reduction%20Plan%20Tables%20-%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Sheet2!$E$3</c:f>
              <c:strCache>
                <c:ptCount val="1"/>
                <c:pt idx="0">
                  <c:v>Emissions</c:v>
                </c:pt>
              </c:strCache>
            </c:strRef>
          </c:tx>
          <c:spPr>
            <a:solidFill>
              <a:srgbClr val="FF0909"/>
            </a:solidFill>
            <a:ln>
              <a:noFill/>
            </a:ln>
            <a:effectLst/>
          </c:spPr>
          <c:invertIfNegative val="0"/>
          <c:dPt>
            <c:idx val="4"/>
            <c:invertIfNegative val="0"/>
            <c:bubble3D val="0"/>
            <c:spPr>
              <a:solidFill>
                <a:srgbClr val="FF0909"/>
              </a:solidFill>
              <a:ln>
                <a:noFill/>
              </a:ln>
              <a:effectLst/>
            </c:spPr>
            <c:extLst>
              <c:ext xmlns:c16="http://schemas.microsoft.com/office/drawing/2014/chart" uri="{C3380CC4-5D6E-409C-BE32-E72D297353CC}">
                <c16:uniqueId val="{00000001-EB95-47E7-80D3-46B479957003}"/>
              </c:ext>
            </c:extLst>
          </c:dPt>
          <c:dPt>
            <c:idx val="6"/>
            <c:invertIfNegative val="0"/>
            <c:bubble3D val="0"/>
            <c:spPr>
              <a:solidFill>
                <a:srgbClr val="FF9393"/>
              </a:solidFill>
              <a:ln>
                <a:noFill/>
              </a:ln>
              <a:effectLst/>
            </c:spPr>
            <c:extLst>
              <c:ext xmlns:c16="http://schemas.microsoft.com/office/drawing/2014/chart" uri="{C3380CC4-5D6E-409C-BE32-E72D297353CC}">
                <c16:uniqueId val="{00000003-EB95-47E7-80D3-46B479957003}"/>
              </c:ext>
            </c:extLst>
          </c:dPt>
          <c:cat>
            <c:strRef>
              <c:f>Sheet2!$D$4:$D$10</c:f>
              <c:strCache>
                <c:ptCount val="7"/>
                <c:pt idx="0">
                  <c:v>2019</c:v>
                </c:pt>
                <c:pt idx="1">
                  <c:v>2020</c:v>
                </c:pt>
                <c:pt idx="2">
                  <c:v>2021</c:v>
                </c:pt>
                <c:pt idx="3">
                  <c:v>2022</c:v>
                </c:pt>
                <c:pt idx="4">
                  <c:v>2023</c:v>
                </c:pt>
                <c:pt idx="5">
                  <c:v>2024</c:v>
                </c:pt>
                <c:pt idx="6">
                  <c:v>2025 Target</c:v>
                </c:pt>
              </c:strCache>
            </c:strRef>
          </c:cat>
          <c:val>
            <c:numRef>
              <c:f>Sheet2!$E$4:$E$10</c:f>
              <c:numCache>
                <c:formatCode>General</c:formatCode>
                <c:ptCount val="7"/>
                <c:pt idx="0">
                  <c:v>7</c:v>
                </c:pt>
                <c:pt idx="1">
                  <c:v>7.5</c:v>
                </c:pt>
                <c:pt idx="2">
                  <c:v>10.7</c:v>
                </c:pt>
                <c:pt idx="3">
                  <c:v>16.5</c:v>
                </c:pt>
                <c:pt idx="4">
                  <c:v>20</c:v>
                </c:pt>
                <c:pt idx="5">
                  <c:v>37.53</c:v>
                </c:pt>
                <c:pt idx="6">
                  <c:v>42.5</c:v>
                </c:pt>
              </c:numCache>
            </c:numRef>
          </c:val>
          <c:extLst>
            <c:ext xmlns:c16="http://schemas.microsoft.com/office/drawing/2014/chart" uri="{C3380CC4-5D6E-409C-BE32-E72D297353CC}">
              <c16:uniqueId val="{00000004-EB95-47E7-80D3-46B479957003}"/>
            </c:ext>
          </c:extLst>
        </c:ser>
        <c:ser>
          <c:idx val="1"/>
          <c:order val="1"/>
          <c:tx>
            <c:strRef>
              <c:f>Sheet2!$F$3</c:f>
              <c:strCache>
                <c:ptCount val="1"/>
                <c:pt idx="0">
                  <c:v>Offset</c:v>
                </c:pt>
              </c:strCache>
            </c:strRef>
          </c:tx>
          <c:spPr>
            <a:solidFill>
              <a:srgbClr val="92D050"/>
            </a:solidFill>
            <a:ln>
              <a:noFill/>
            </a:ln>
            <a:effectLst/>
          </c:spPr>
          <c:invertIfNegative val="0"/>
          <c:dPt>
            <c:idx val="4"/>
            <c:invertIfNegative val="0"/>
            <c:bubble3D val="0"/>
            <c:spPr>
              <a:solidFill>
                <a:srgbClr val="92D050"/>
              </a:solidFill>
              <a:ln>
                <a:noFill/>
              </a:ln>
              <a:effectLst/>
            </c:spPr>
            <c:extLst>
              <c:ext xmlns:c16="http://schemas.microsoft.com/office/drawing/2014/chart" uri="{C3380CC4-5D6E-409C-BE32-E72D297353CC}">
                <c16:uniqueId val="{00000006-EB95-47E7-80D3-46B479957003}"/>
              </c:ext>
            </c:extLst>
          </c:dPt>
          <c:dPt>
            <c:idx val="6"/>
            <c:invertIfNegative val="0"/>
            <c:bubble3D val="0"/>
            <c:spPr>
              <a:solidFill>
                <a:srgbClr val="BDDCA8"/>
              </a:solidFill>
              <a:ln>
                <a:noFill/>
              </a:ln>
              <a:effectLst/>
            </c:spPr>
            <c:extLst>
              <c:ext xmlns:c16="http://schemas.microsoft.com/office/drawing/2014/chart" uri="{C3380CC4-5D6E-409C-BE32-E72D297353CC}">
                <c16:uniqueId val="{00000008-EB95-47E7-80D3-46B479957003}"/>
              </c:ext>
            </c:extLst>
          </c:dPt>
          <c:cat>
            <c:strRef>
              <c:f>Sheet2!$D$4:$D$10</c:f>
              <c:strCache>
                <c:ptCount val="7"/>
                <c:pt idx="0">
                  <c:v>2019</c:v>
                </c:pt>
                <c:pt idx="1">
                  <c:v>2020</c:v>
                </c:pt>
                <c:pt idx="2">
                  <c:v>2021</c:v>
                </c:pt>
                <c:pt idx="3">
                  <c:v>2022</c:v>
                </c:pt>
                <c:pt idx="4">
                  <c:v>2023</c:v>
                </c:pt>
                <c:pt idx="5">
                  <c:v>2024</c:v>
                </c:pt>
                <c:pt idx="6">
                  <c:v>2025 Target</c:v>
                </c:pt>
              </c:strCache>
            </c:strRef>
          </c:cat>
          <c:val>
            <c:numRef>
              <c:f>Sheet2!$F$4:$F$10</c:f>
              <c:numCache>
                <c:formatCode>General</c:formatCode>
                <c:ptCount val="7"/>
                <c:pt idx="0">
                  <c:v>0</c:v>
                </c:pt>
                <c:pt idx="1">
                  <c:v>-0.2</c:v>
                </c:pt>
                <c:pt idx="2">
                  <c:v>-15.3</c:v>
                </c:pt>
                <c:pt idx="3">
                  <c:v>-36</c:v>
                </c:pt>
                <c:pt idx="4">
                  <c:v>-47</c:v>
                </c:pt>
                <c:pt idx="5">
                  <c:v>-97.6</c:v>
                </c:pt>
                <c:pt idx="6">
                  <c:v>-125</c:v>
                </c:pt>
              </c:numCache>
            </c:numRef>
          </c:val>
          <c:extLst>
            <c:ext xmlns:c16="http://schemas.microsoft.com/office/drawing/2014/chart" uri="{C3380CC4-5D6E-409C-BE32-E72D297353CC}">
              <c16:uniqueId val="{00000009-EB95-47E7-80D3-46B479957003}"/>
            </c:ext>
          </c:extLst>
        </c:ser>
        <c:ser>
          <c:idx val="2"/>
          <c:order val="2"/>
          <c:tx>
            <c:strRef>
              <c:f>Sheet2!$G$3</c:f>
              <c:strCache>
                <c:ptCount val="1"/>
                <c:pt idx="0">
                  <c:v>Total</c:v>
                </c:pt>
              </c:strCache>
            </c:strRef>
          </c:tx>
          <c:spPr>
            <a:solidFill>
              <a:srgbClr val="0070C0"/>
            </a:solidFill>
            <a:ln>
              <a:noFill/>
            </a:ln>
            <a:effectLst/>
          </c:spPr>
          <c:invertIfNegative val="0"/>
          <c:dPt>
            <c:idx val="4"/>
            <c:invertIfNegative val="0"/>
            <c:bubble3D val="0"/>
            <c:spPr>
              <a:solidFill>
                <a:srgbClr val="0070C0"/>
              </a:solidFill>
              <a:ln>
                <a:noFill/>
              </a:ln>
              <a:effectLst/>
            </c:spPr>
            <c:extLst>
              <c:ext xmlns:c16="http://schemas.microsoft.com/office/drawing/2014/chart" uri="{C3380CC4-5D6E-409C-BE32-E72D297353CC}">
                <c16:uniqueId val="{0000000B-EB95-47E7-80D3-46B479957003}"/>
              </c:ext>
            </c:extLst>
          </c:dPt>
          <c:dPt>
            <c:idx val="6"/>
            <c:invertIfNegative val="0"/>
            <c:bubble3D val="0"/>
            <c:spPr>
              <a:solidFill>
                <a:srgbClr val="81C9FF"/>
              </a:solidFill>
              <a:ln>
                <a:noFill/>
              </a:ln>
              <a:effectLst/>
            </c:spPr>
            <c:extLst>
              <c:ext xmlns:c16="http://schemas.microsoft.com/office/drawing/2014/chart" uri="{C3380CC4-5D6E-409C-BE32-E72D297353CC}">
                <c16:uniqueId val="{0000000D-EB95-47E7-80D3-46B479957003}"/>
              </c:ext>
            </c:extLst>
          </c:dPt>
          <c:trendline>
            <c:name>Net Emissions Trend</c:name>
            <c:spPr>
              <a:ln w="19050" cap="rnd">
                <a:solidFill>
                  <a:schemeClr val="accent4">
                    <a:lumMod val="75000"/>
                    <a:alpha val="68000"/>
                  </a:schemeClr>
                </a:solidFill>
                <a:prstDash val="sysDash"/>
              </a:ln>
              <a:effectLst/>
            </c:spPr>
            <c:trendlineType val="poly"/>
            <c:order val="2"/>
            <c:dispRSqr val="0"/>
            <c:dispEq val="0"/>
          </c:trendline>
          <c:cat>
            <c:strRef>
              <c:f>Sheet2!$D$4:$D$10</c:f>
              <c:strCache>
                <c:ptCount val="7"/>
                <c:pt idx="0">
                  <c:v>2019</c:v>
                </c:pt>
                <c:pt idx="1">
                  <c:v>2020</c:v>
                </c:pt>
                <c:pt idx="2">
                  <c:v>2021</c:v>
                </c:pt>
                <c:pt idx="3">
                  <c:v>2022</c:v>
                </c:pt>
                <c:pt idx="4">
                  <c:v>2023</c:v>
                </c:pt>
                <c:pt idx="5">
                  <c:v>2024</c:v>
                </c:pt>
                <c:pt idx="6">
                  <c:v>2025 Target</c:v>
                </c:pt>
              </c:strCache>
            </c:strRef>
          </c:cat>
          <c:val>
            <c:numRef>
              <c:f>Sheet2!$G$4:$G$10</c:f>
              <c:numCache>
                <c:formatCode>General</c:formatCode>
                <c:ptCount val="7"/>
                <c:pt idx="0">
                  <c:v>7</c:v>
                </c:pt>
                <c:pt idx="1">
                  <c:v>7.3</c:v>
                </c:pt>
                <c:pt idx="2">
                  <c:v>-4.6000000000000014</c:v>
                </c:pt>
                <c:pt idx="3">
                  <c:v>-19.5</c:v>
                </c:pt>
                <c:pt idx="4">
                  <c:v>-27</c:v>
                </c:pt>
                <c:pt idx="5">
                  <c:v>-60.069999999999993</c:v>
                </c:pt>
                <c:pt idx="6">
                  <c:v>-82.5</c:v>
                </c:pt>
              </c:numCache>
            </c:numRef>
          </c:val>
          <c:extLst>
            <c:ext xmlns:c16="http://schemas.microsoft.com/office/drawing/2014/chart" uri="{C3380CC4-5D6E-409C-BE32-E72D297353CC}">
              <c16:uniqueId val="{0000000F-EB95-47E7-80D3-46B479957003}"/>
            </c:ext>
          </c:extLst>
        </c:ser>
        <c:dLbls>
          <c:showLegendKey val="0"/>
          <c:showVal val="0"/>
          <c:showCatName val="0"/>
          <c:showSerName val="0"/>
          <c:showPercent val="0"/>
          <c:showBubbleSize val="0"/>
        </c:dLbls>
        <c:gapWidth val="178"/>
        <c:overlap val="-8"/>
        <c:axId val="972629935"/>
        <c:axId val="972631183"/>
      </c:barChart>
      <c:catAx>
        <c:axId val="972629935"/>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2631183"/>
        <c:crosses val="autoZero"/>
        <c:auto val="1"/>
        <c:lblAlgn val="ctr"/>
        <c:lblOffset val="100"/>
        <c:noMultiLvlLbl val="0"/>
      </c:catAx>
      <c:valAx>
        <c:axId val="972631183"/>
        <c:scaling>
          <c:orientation val="minMax"/>
        </c:scaling>
        <c:delete val="0"/>
        <c:axPos val="l"/>
        <c:majorGridlines>
          <c:spPr>
            <a:ln w="9525" cap="flat" cmpd="sng" algn="ctr">
              <a:solidFill>
                <a:schemeClr val="tx1">
                  <a:lumMod val="50000"/>
                  <a:lumOff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Carbon /</a:t>
                </a:r>
                <a:r>
                  <a:rPr lang="en-GB" baseline="0">
                    <a:solidFill>
                      <a:sysClr val="windowText" lastClr="000000"/>
                    </a:solidFill>
                  </a:rPr>
                  <a:t> tCO</a:t>
                </a:r>
                <a:r>
                  <a:rPr lang="en-GB" baseline="-25000">
                    <a:solidFill>
                      <a:sysClr val="windowText" lastClr="000000"/>
                    </a:solidFill>
                  </a:rPr>
                  <a:t>2</a:t>
                </a:r>
                <a:r>
                  <a:rPr lang="en-GB" baseline="0">
                    <a:solidFill>
                      <a:sysClr val="windowText" lastClr="000000"/>
                    </a:solidFill>
                  </a:rPr>
                  <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2629935"/>
        <c:crosses val="autoZero"/>
        <c:crossBetween val="between"/>
        <c:majorUnit val="2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Hyder</dc:creator>
  <cp:lastModifiedBy>David Westwood</cp:lastModifiedBy>
  <cp:revision>4</cp:revision>
  <dcterms:created xsi:type="dcterms:W3CDTF">2025-02-13T10:17:00Z</dcterms:created>
  <dcterms:modified xsi:type="dcterms:W3CDTF">2025-02-13T12:23:00Z</dcterms:modified>
</cp:coreProperties>
</file>